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63"/>
        <w:gridCol w:w="8460"/>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D50637" w:rsidRDefault="00372B9D" w:rsidP="00372B9D">
            <w:pPr>
              <w:tabs>
                <w:tab w:val="left" w:pos="7088"/>
              </w:tabs>
              <w:jc w:val="both"/>
              <w:rPr>
                <w:color w:val="000000"/>
                <w:sz w:val="28"/>
                <w:szCs w:val="28"/>
              </w:rPr>
            </w:pPr>
            <w:r w:rsidRPr="00D50637">
              <w:rPr>
                <w:color w:val="000000"/>
                <w:sz w:val="28"/>
                <w:szCs w:val="28"/>
              </w:rPr>
              <w:t>Центральна геофізична обсерваторія імені Бориса Срезневського</w:t>
            </w:r>
          </w:p>
          <w:p w14:paraId="513D549E" w14:textId="77777777" w:rsidR="00372B9D" w:rsidRPr="00D50637" w:rsidRDefault="00372B9D" w:rsidP="00372B9D">
            <w:pPr>
              <w:tabs>
                <w:tab w:val="left" w:pos="7088"/>
              </w:tabs>
              <w:jc w:val="both"/>
              <w:rPr>
                <w:color w:val="000000"/>
                <w:sz w:val="28"/>
                <w:szCs w:val="28"/>
              </w:rPr>
            </w:pPr>
            <w:r w:rsidRPr="00D50637">
              <w:rPr>
                <w:color w:val="000000"/>
                <w:sz w:val="28"/>
                <w:szCs w:val="28"/>
              </w:rPr>
              <w:t xml:space="preserve">03028, Україна, м. Київ, проспект Науки, 39, корпус 2 </w:t>
            </w:r>
          </w:p>
          <w:p w14:paraId="2C46CB7C" w14:textId="38E3FF1A" w:rsidR="007571FE" w:rsidRPr="00D50637" w:rsidRDefault="00372B9D" w:rsidP="00372B9D">
            <w:pPr>
              <w:tabs>
                <w:tab w:val="left" w:pos="7088"/>
              </w:tabs>
              <w:jc w:val="both"/>
              <w:rPr>
                <w:color w:val="000000"/>
                <w:sz w:val="28"/>
                <w:szCs w:val="28"/>
              </w:rPr>
            </w:pPr>
            <w:r w:rsidRPr="00D50637">
              <w:rPr>
                <w:color w:val="000000"/>
                <w:sz w:val="28"/>
                <w:szCs w:val="28"/>
              </w:rPr>
              <w:t>Код ЄДРПОУ: 22864480</w:t>
            </w:r>
          </w:p>
        </w:tc>
      </w:tr>
      <w:tr w:rsidR="009C5CEE" w14:paraId="1F6DD4BB" w14:textId="77777777" w:rsidTr="00FD0948">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7D3E4143" w14:textId="77777777" w:rsidR="008B16D5" w:rsidRPr="00D50637" w:rsidRDefault="008B16D5" w:rsidP="008B16D5">
            <w:pPr>
              <w:tabs>
                <w:tab w:val="left" w:pos="7088"/>
              </w:tabs>
              <w:jc w:val="both"/>
              <w:rPr>
                <w:color w:val="000000" w:themeColor="text1"/>
                <w:sz w:val="28"/>
                <w:szCs w:val="28"/>
                <w:shd w:val="clear" w:color="auto" w:fill="FFFFFF"/>
              </w:rPr>
            </w:pPr>
            <w:r w:rsidRPr="00D50637">
              <w:rPr>
                <w:color w:val="000000" w:themeColor="text1"/>
                <w:sz w:val="28"/>
                <w:szCs w:val="28"/>
                <w:shd w:val="clear" w:color="auto" w:fill="FFFFFF"/>
              </w:rPr>
              <w:t>Послуги доступу до мережі Інтернет</w:t>
            </w:r>
          </w:p>
          <w:p w14:paraId="2856A7BD" w14:textId="585A9615" w:rsidR="009C5CEE" w:rsidRPr="00D50637" w:rsidRDefault="008B16D5" w:rsidP="008B16D5">
            <w:pPr>
              <w:tabs>
                <w:tab w:val="left" w:pos="7088"/>
              </w:tabs>
              <w:jc w:val="both"/>
              <w:rPr>
                <w:color w:val="000000" w:themeColor="text1"/>
                <w:sz w:val="28"/>
                <w:szCs w:val="28"/>
                <w:lang w:val="ru-RU"/>
              </w:rPr>
            </w:pPr>
            <w:r w:rsidRPr="00D50637">
              <w:rPr>
                <w:color w:val="000000" w:themeColor="text1"/>
                <w:sz w:val="28"/>
                <w:szCs w:val="28"/>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6826D998" w14:textId="2B208615" w:rsidR="009C5CEE" w:rsidRPr="00D50637" w:rsidRDefault="00D50637" w:rsidP="00490462">
            <w:pPr>
              <w:tabs>
                <w:tab w:val="left" w:pos="7088"/>
              </w:tabs>
              <w:jc w:val="center"/>
              <w:rPr>
                <w:color w:val="000000"/>
                <w:sz w:val="28"/>
                <w:szCs w:val="28"/>
              </w:rPr>
            </w:pPr>
            <w:r w:rsidRPr="00D50637">
              <w:rPr>
                <w:color w:val="000000"/>
                <w:sz w:val="28"/>
                <w:szCs w:val="28"/>
              </w:rPr>
              <w:t>UA-2025-12-04-010646-a</w:t>
            </w: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4EBB26EF" w14:textId="77777777" w:rsidR="00D50637" w:rsidRPr="00D50637" w:rsidRDefault="00D50637" w:rsidP="00D50637">
            <w:pPr>
              <w:tabs>
                <w:tab w:val="left" w:pos="7088"/>
              </w:tabs>
              <w:jc w:val="both"/>
              <w:rPr>
                <w:color w:val="000000"/>
                <w:sz w:val="28"/>
                <w:szCs w:val="28"/>
              </w:rPr>
            </w:pPr>
            <w:r w:rsidRPr="00D50637">
              <w:rPr>
                <w:color w:val="000000"/>
                <w:sz w:val="28"/>
                <w:szCs w:val="28"/>
              </w:rPr>
              <w:t xml:space="preserve">Тип підключення: оптоволоконне. </w:t>
            </w:r>
          </w:p>
          <w:p w14:paraId="7CD17630" w14:textId="77777777" w:rsidR="00D50637" w:rsidRPr="00D50637" w:rsidRDefault="00D50637" w:rsidP="00D50637">
            <w:pPr>
              <w:tabs>
                <w:tab w:val="left" w:pos="7088"/>
              </w:tabs>
              <w:jc w:val="both"/>
              <w:rPr>
                <w:color w:val="000000"/>
                <w:sz w:val="28"/>
                <w:szCs w:val="28"/>
              </w:rPr>
            </w:pPr>
            <w:r w:rsidRPr="00D50637">
              <w:rPr>
                <w:color w:val="000000"/>
                <w:sz w:val="28"/>
                <w:szCs w:val="28"/>
              </w:rPr>
              <w:t xml:space="preserve">Швидкість з’єднання: не менше 50 Мбіт/с. </w:t>
            </w:r>
          </w:p>
          <w:p w14:paraId="0AB007B3" w14:textId="77777777" w:rsidR="00D50637" w:rsidRPr="00D50637" w:rsidRDefault="00D50637" w:rsidP="00D50637">
            <w:pPr>
              <w:tabs>
                <w:tab w:val="left" w:pos="7088"/>
              </w:tabs>
              <w:jc w:val="both"/>
              <w:rPr>
                <w:color w:val="000000"/>
                <w:sz w:val="28"/>
                <w:szCs w:val="28"/>
              </w:rPr>
            </w:pPr>
            <w:r w:rsidRPr="00D50637">
              <w:rPr>
                <w:color w:val="000000"/>
                <w:sz w:val="28"/>
                <w:szCs w:val="28"/>
              </w:rPr>
              <w:t xml:space="preserve">Стабільність з’єднання: не нижче 99,5% часу стабільної роботи. </w:t>
            </w:r>
          </w:p>
          <w:p w14:paraId="1E242609" w14:textId="77777777" w:rsidR="00D50637" w:rsidRPr="00D50637" w:rsidRDefault="00D50637" w:rsidP="00D50637">
            <w:pPr>
              <w:tabs>
                <w:tab w:val="left" w:pos="7088"/>
              </w:tabs>
              <w:jc w:val="both"/>
              <w:rPr>
                <w:color w:val="000000"/>
                <w:sz w:val="28"/>
                <w:szCs w:val="28"/>
              </w:rPr>
            </w:pPr>
            <w:r w:rsidRPr="00D50637">
              <w:rPr>
                <w:color w:val="000000"/>
                <w:sz w:val="28"/>
                <w:szCs w:val="28"/>
              </w:rPr>
              <w:t>Резервне живлення: забезпечення безперебійної передачі та приймання трафіку у разі тимчасового припинення електропостачання (наявність резервного живлення або іншого технічного рішення).</w:t>
            </w:r>
          </w:p>
          <w:p w14:paraId="6BD3F019" w14:textId="77777777" w:rsidR="00D50637" w:rsidRPr="00D50637" w:rsidRDefault="00D50637" w:rsidP="00D50637">
            <w:pPr>
              <w:tabs>
                <w:tab w:val="left" w:pos="7088"/>
              </w:tabs>
              <w:jc w:val="both"/>
              <w:rPr>
                <w:color w:val="000000"/>
                <w:sz w:val="28"/>
                <w:szCs w:val="28"/>
              </w:rPr>
            </w:pPr>
            <w:r w:rsidRPr="00D50637">
              <w:rPr>
                <w:color w:val="000000"/>
                <w:sz w:val="28"/>
                <w:szCs w:val="28"/>
              </w:rPr>
              <w:t>Доступ до мережі Інтернет має бути безлімітним, з можливістю передачі даних без обмеження швидкості та обсягу. Надання послуги повинно здійснюватися цілодобово: 24/7/365.</w:t>
            </w:r>
          </w:p>
          <w:p w14:paraId="48E81143" w14:textId="3CAEDE34" w:rsidR="008B16D5" w:rsidRPr="00D50637" w:rsidRDefault="00D50637" w:rsidP="00D50637">
            <w:pPr>
              <w:tabs>
                <w:tab w:val="left" w:pos="7088"/>
              </w:tabs>
              <w:jc w:val="both"/>
              <w:rPr>
                <w:color w:val="000000"/>
                <w:sz w:val="28"/>
                <w:szCs w:val="28"/>
              </w:rPr>
            </w:pPr>
            <w:r w:rsidRPr="00D50637">
              <w:rPr>
                <w:color w:val="000000"/>
                <w:sz w:val="28"/>
                <w:szCs w:val="28"/>
              </w:rPr>
              <w:lastRenderedPageBreak/>
              <w:t>Учасник повинен бути включений до Реєстру постачальників електронних комунікаційних мереж та послуг з типом послуги «Послуги доступу до мережі Інтернет» та відповідною територією і статусом відповідно до порядку, затвердженого постановою НКЕК від 20.04.2022 № 30 (зі змінами).</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6AC69FA0" w14:textId="77777777" w:rsidR="00D50637" w:rsidRPr="00D50637" w:rsidRDefault="00D50637" w:rsidP="00D50637">
            <w:pPr>
              <w:tabs>
                <w:tab w:val="left" w:pos="7088"/>
              </w:tabs>
              <w:jc w:val="both"/>
              <w:rPr>
                <w:color w:val="000000"/>
                <w:sz w:val="28"/>
                <w:szCs w:val="28"/>
              </w:rPr>
            </w:pPr>
            <w:r w:rsidRPr="00D50637">
              <w:rPr>
                <w:color w:val="000000"/>
                <w:sz w:val="28"/>
                <w:szCs w:val="28"/>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60E6A01B" w14:textId="77777777" w:rsidR="00D50637" w:rsidRPr="00D50637" w:rsidRDefault="00D50637" w:rsidP="00D50637">
            <w:pPr>
              <w:tabs>
                <w:tab w:val="left" w:pos="7088"/>
              </w:tabs>
              <w:jc w:val="both"/>
              <w:rPr>
                <w:color w:val="000000"/>
                <w:sz w:val="28"/>
                <w:szCs w:val="28"/>
              </w:rPr>
            </w:pPr>
            <w:r w:rsidRPr="00D50637">
              <w:rPr>
                <w:color w:val="000000"/>
                <w:sz w:val="28"/>
                <w:szCs w:val="28"/>
              </w:rPr>
              <w:t>Розмір бюджетного призначення для здійснення закупівлі визначено з урахуванням:</w:t>
            </w:r>
          </w:p>
          <w:p w14:paraId="0A9903B4" w14:textId="77777777" w:rsidR="00D50637" w:rsidRPr="00D50637" w:rsidRDefault="00D50637" w:rsidP="00D50637">
            <w:pPr>
              <w:tabs>
                <w:tab w:val="left" w:pos="7088"/>
              </w:tabs>
              <w:jc w:val="both"/>
              <w:rPr>
                <w:color w:val="000000"/>
                <w:sz w:val="28"/>
                <w:szCs w:val="28"/>
              </w:rPr>
            </w:pPr>
            <w:r w:rsidRPr="00D50637">
              <w:rPr>
                <w:color w:val="000000"/>
                <w:sz w:val="28"/>
                <w:szCs w:val="28"/>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2B2FC657" w14:textId="77777777" w:rsidR="00D50637" w:rsidRPr="00D50637" w:rsidRDefault="00D50637" w:rsidP="00D50637">
            <w:pPr>
              <w:tabs>
                <w:tab w:val="left" w:pos="7088"/>
              </w:tabs>
              <w:jc w:val="both"/>
              <w:rPr>
                <w:color w:val="000000"/>
                <w:sz w:val="28"/>
                <w:szCs w:val="28"/>
              </w:rPr>
            </w:pPr>
            <w:r w:rsidRPr="00D50637">
              <w:rPr>
                <w:color w:val="000000"/>
                <w:sz w:val="28"/>
                <w:szCs w:val="28"/>
              </w:rPr>
              <w:t>наявної комерційної пропозиції, що підтверджує реальну очікувану вартість предмета закупівлі;</w:t>
            </w:r>
          </w:p>
          <w:p w14:paraId="62D8C90D" w14:textId="77777777" w:rsidR="00D50637" w:rsidRPr="00D50637" w:rsidRDefault="00D50637" w:rsidP="00D50637">
            <w:pPr>
              <w:tabs>
                <w:tab w:val="left" w:pos="7088"/>
              </w:tabs>
              <w:jc w:val="both"/>
              <w:rPr>
                <w:color w:val="000000"/>
                <w:sz w:val="28"/>
                <w:szCs w:val="28"/>
              </w:rPr>
            </w:pPr>
            <w:r w:rsidRPr="00D50637">
              <w:rPr>
                <w:color w:val="000000"/>
                <w:sz w:val="28"/>
                <w:szCs w:val="28"/>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31A5E292" w:rsidR="009C5CEE" w:rsidRPr="00D50637" w:rsidRDefault="00D50637" w:rsidP="00D50637">
            <w:pPr>
              <w:tabs>
                <w:tab w:val="left" w:pos="7088"/>
              </w:tabs>
              <w:jc w:val="both"/>
              <w:rPr>
                <w:color w:val="000000"/>
                <w:sz w:val="28"/>
                <w:szCs w:val="28"/>
              </w:rPr>
            </w:pPr>
            <w:r w:rsidRPr="00D50637">
              <w:rPr>
                <w:color w:val="000000"/>
                <w:sz w:val="28"/>
                <w:szCs w:val="28"/>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lastRenderedPageBreak/>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51A8DC5A" w:rsidR="009C5CEE" w:rsidRPr="00D50637" w:rsidRDefault="00D50637" w:rsidP="006F071B">
            <w:pPr>
              <w:tabs>
                <w:tab w:val="left" w:pos="7088"/>
              </w:tabs>
              <w:jc w:val="both"/>
              <w:rPr>
                <w:color w:val="000000"/>
                <w:sz w:val="28"/>
                <w:szCs w:val="28"/>
              </w:rPr>
            </w:pPr>
            <w:r w:rsidRPr="00D50637">
              <w:rPr>
                <w:color w:val="000000"/>
                <w:sz w:val="28"/>
                <w:szCs w:val="28"/>
              </w:rPr>
              <w:t>7100</w:t>
            </w:r>
            <w:r w:rsidR="008B16D5" w:rsidRPr="00D50637">
              <w:rPr>
                <w:color w:val="000000"/>
                <w:sz w:val="28"/>
                <w:szCs w:val="28"/>
              </w:rPr>
              <w:t>,</w:t>
            </w:r>
            <w:r w:rsidR="008B16D5" w:rsidRPr="00D50637">
              <w:rPr>
                <w:color w:val="000000"/>
                <w:sz w:val="28"/>
                <w:szCs w:val="28"/>
                <w:lang w:val="en-US"/>
              </w:rPr>
              <w:t>00</w:t>
            </w:r>
            <w:r w:rsidR="00900F3C" w:rsidRPr="00D50637">
              <w:rPr>
                <w:color w:val="000000"/>
                <w:sz w:val="28"/>
                <w:szCs w:val="28"/>
              </w:rPr>
              <w:t xml:space="preserve"> </w:t>
            </w:r>
            <w:r w:rsidR="006C2C4F" w:rsidRPr="00D50637">
              <w:rPr>
                <w:color w:val="000000"/>
                <w:sz w:val="28"/>
                <w:szCs w:val="28"/>
              </w:rPr>
              <w:t>грн</w:t>
            </w:r>
            <w:r w:rsidR="008F1694" w:rsidRPr="00D50637">
              <w:rPr>
                <w:color w:val="000000"/>
                <w:sz w:val="28"/>
                <w:szCs w:val="28"/>
              </w:rPr>
              <w:t xml:space="preserve"> </w:t>
            </w:r>
            <w:r w:rsidR="00372B9D" w:rsidRPr="00D50637">
              <w:rPr>
                <w:color w:val="000000"/>
                <w:sz w:val="28"/>
                <w:szCs w:val="28"/>
              </w:rPr>
              <w:t>з</w:t>
            </w:r>
            <w:r w:rsidR="008F1694" w:rsidRPr="00D50637">
              <w:rPr>
                <w:color w:val="000000"/>
                <w:sz w:val="28"/>
                <w:szCs w:val="28"/>
              </w:rPr>
              <w:t xml:space="preserve"> ПДВ</w:t>
            </w:r>
            <w:r w:rsidR="006F071B" w:rsidRPr="00D50637">
              <w:rPr>
                <w:color w:val="000000"/>
                <w:sz w:val="28"/>
                <w:szCs w:val="28"/>
              </w:rPr>
              <w:t>.</w:t>
            </w:r>
            <w:r w:rsidR="008F1694" w:rsidRPr="00D50637">
              <w:rPr>
                <w:color w:val="000000"/>
                <w:sz w:val="28"/>
                <w:szCs w:val="28"/>
              </w:rPr>
              <w:t xml:space="preserve"> </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3DF0A68C" w14:textId="77777777" w:rsidR="00D50637" w:rsidRPr="00D50637" w:rsidRDefault="00D50637" w:rsidP="00D50637">
            <w:pPr>
              <w:tabs>
                <w:tab w:val="left" w:pos="7088"/>
              </w:tabs>
              <w:jc w:val="both"/>
              <w:rPr>
                <w:color w:val="000000"/>
                <w:sz w:val="28"/>
                <w:szCs w:val="28"/>
              </w:rPr>
            </w:pPr>
            <w:r w:rsidRPr="00D50637">
              <w:rPr>
                <w:color w:val="000000"/>
                <w:sz w:val="28"/>
                <w:szCs w:val="28"/>
              </w:rPr>
              <w:t>Для визначення очікуваної вартості предмета закупівлі здійснено аналіз ринку послуг доступу до мережі Інтернет шляхом пошуку, збору та узагальнення загальнодоступної інформації щодо цін постачальників. Розрахунок здійснювався відповідно до положень наказу Міністерства економіки України від 18.02.2020 № 275 «Про затвердження примірної методики визначення очікуваної вартості предмета закупівлі» (із змінами).</w:t>
            </w:r>
          </w:p>
          <w:p w14:paraId="543212BD" w14:textId="77777777" w:rsidR="00D50637" w:rsidRPr="00D50637" w:rsidRDefault="00D50637" w:rsidP="00D50637">
            <w:pPr>
              <w:tabs>
                <w:tab w:val="left" w:pos="7088"/>
              </w:tabs>
              <w:jc w:val="both"/>
              <w:rPr>
                <w:color w:val="000000"/>
                <w:sz w:val="28"/>
                <w:szCs w:val="28"/>
              </w:rPr>
            </w:pPr>
            <w:r w:rsidRPr="00D50637">
              <w:rPr>
                <w:color w:val="000000"/>
                <w:sz w:val="28"/>
                <w:szCs w:val="28"/>
              </w:rPr>
              <w:t>У межах проведеного аналізу були розглянуті цінові пропозиції таких провайдерів:</w:t>
            </w:r>
          </w:p>
          <w:p w14:paraId="2005BA3F" w14:textId="4B3A426A" w:rsidR="00D50637" w:rsidRPr="00D50637" w:rsidRDefault="00D50637" w:rsidP="00D50637">
            <w:pPr>
              <w:tabs>
                <w:tab w:val="left" w:pos="7088"/>
              </w:tabs>
              <w:jc w:val="both"/>
              <w:rPr>
                <w:color w:val="000000"/>
                <w:sz w:val="28"/>
                <w:szCs w:val="28"/>
              </w:rPr>
            </w:pPr>
            <w:r w:rsidRPr="00D50637">
              <w:rPr>
                <w:color w:val="000000"/>
                <w:sz w:val="28"/>
                <w:szCs w:val="28"/>
              </w:rPr>
              <w:t>1.ТОВ "</w:t>
            </w:r>
            <w:proofErr w:type="spellStart"/>
            <w:r w:rsidRPr="00D50637">
              <w:rPr>
                <w:color w:val="000000"/>
                <w:sz w:val="28"/>
                <w:szCs w:val="28"/>
              </w:rPr>
              <w:t>Ведекон</w:t>
            </w:r>
            <w:proofErr w:type="spellEnd"/>
            <w:r w:rsidRPr="00D50637">
              <w:rPr>
                <w:color w:val="000000"/>
                <w:sz w:val="28"/>
                <w:szCs w:val="28"/>
              </w:rPr>
              <w:t>" – 375 грн/міс.</w:t>
            </w:r>
          </w:p>
          <w:p w14:paraId="16C6D7B5" w14:textId="1512B5D3" w:rsidR="00D50637" w:rsidRPr="00D50637" w:rsidRDefault="00D50637" w:rsidP="00D50637">
            <w:pPr>
              <w:tabs>
                <w:tab w:val="left" w:pos="7088"/>
              </w:tabs>
              <w:jc w:val="both"/>
              <w:rPr>
                <w:color w:val="000000"/>
                <w:sz w:val="28"/>
                <w:szCs w:val="28"/>
              </w:rPr>
            </w:pPr>
            <w:r w:rsidRPr="00D50637">
              <w:rPr>
                <w:color w:val="000000"/>
                <w:sz w:val="28"/>
                <w:szCs w:val="28"/>
              </w:rPr>
              <w:t>2.ТОВ «</w:t>
            </w:r>
            <w:proofErr w:type="spellStart"/>
            <w:r w:rsidRPr="00D50637">
              <w:rPr>
                <w:color w:val="000000"/>
                <w:sz w:val="28"/>
                <w:szCs w:val="28"/>
              </w:rPr>
              <w:t>Сіднет</w:t>
            </w:r>
            <w:proofErr w:type="spellEnd"/>
            <w:r w:rsidRPr="00D50637">
              <w:rPr>
                <w:color w:val="000000"/>
                <w:sz w:val="28"/>
                <w:szCs w:val="28"/>
              </w:rPr>
              <w:t>» – 700 грн/міс.</w:t>
            </w:r>
          </w:p>
          <w:p w14:paraId="654E05E8" w14:textId="09D626EA" w:rsidR="00D50637" w:rsidRPr="00D50637" w:rsidRDefault="00D50637" w:rsidP="00D50637">
            <w:pPr>
              <w:tabs>
                <w:tab w:val="left" w:pos="7088"/>
              </w:tabs>
              <w:jc w:val="both"/>
              <w:rPr>
                <w:color w:val="000000"/>
                <w:sz w:val="28"/>
                <w:szCs w:val="28"/>
              </w:rPr>
            </w:pPr>
            <w:r w:rsidRPr="00D50637">
              <w:rPr>
                <w:color w:val="000000"/>
                <w:sz w:val="28"/>
                <w:szCs w:val="28"/>
              </w:rPr>
              <w:t>3.ТОВ «</w:t>
            </w:r>
            <w:proofErr w:type="spellStart"/>
            <w:r w:rsidRPr="00D50637">
              <w:rPr>
                <w:color w:val="000000"/>
                <w:sz w:val="28"/>
                <w:szCs w:val="28"/>
              </w:rPr>
              <w:t>Best</w:t>
            </w:r>
            <w:proofErr w:type="spellEnd"/>
            <w:r w:rsidRPr="00D50637">
              <w:rPr>
                <w:color w:val="000000"/>
                <w:sz w:val="28"/>
                <w:szCs w:val="28"/>
              </w:rPr>
              <w:t>» – 700 грн/міс.</w:t>
            </w:r>
          </w:p>
          <w:p w14:paraId="7D45763C" w14:textId="77777777" w:rsidR="00D50637" w:rsidRPr="00D50637" w:rsidRDefault="00D50637" w:rsidP="00D50637">
            <w:pPr>
              <w:tabs>
                <w:tab w:val="left" w:pos="7088"/>
              </w:tabs>
              <w:jc w:val="both"/>
              <w:rPr>
                <w:color w:val="000000"/>
                <w:sz w:val="28"/>
                <w:szCs w:val="28"/>
              </w:rPr>
            </w:pPr>
            <w:r w:rsidRPr="00D50637">
              <w:rPr>
                <w:color w:val="000000"/>
                <w:sz w:val="28"/>
                <w:szCs w:val="28"/>
              </w:rPr>
              <w:t>Середня річна вартість послуг визначена шляхом обчислення середньоарифметичного значення запропонованих цін та становить:</w:t>
            </w:r>
          </w:p>
          <w:p w14:paraId="6CD5DDA5" w14:textId="77777777" w:rsidR="00D50637" w:rsidRPr="00D50637" w:rsidRDefault="00D50637" w:rsidP="00D50637">
            <w:pPr>
              <w:tabs>
                <w:tab w:val="left" w:pos="7088"/>
              </w:tabs>
              <w:jc w:val="both"/>
              <w:rPr>
                <w:color w:val="000000"/>
                <w:sz w:val="28"/>
                <w:szCs w:val="28"/>
              </w:rPr>
            </w:pPr>
            <w:r w:rsidRPr="00D50637">
              <w:rPr>
                <w:color w:val="000000"/>
                <w:sz w:val="28"/>
                <w:szCs w:val="28"/>
              </w:rPr>
              <w:t>7 100 грн на рік.</w:t>
            </w:r>
          </w:p>
          <w:p w14:paraId="2440F4D1" w14:textId="63A4FAE6" w:rsidR="00FD0948" w:rsidRPr="00D50637" w:rsidRDefault="00D50637" w:rsidP="00D50637">
            <w:pPr>
              <w:tabs>
                <w:tab w:val="left" w:pos="7088"/>
              </w:tabs>
              <w:jc w:val="both"/>
              <w:rPr>
                <w:color w:val="000000"/>
                <w:sz w:val="28"/>
                <w:szCs w:val="28"/>
              </w:rPr>
            </w:pPr>
            <w:r w:rsidRPr="00D50637">
              <w:rPr>
                <w:color w:val="000000"/>
                <w:sz w:val="28"/>
                <w:szCs w:val="28"/>
              </w:rPr>
              <w:t>З урахуванням проведеного аналізу та відповідності розрахованої ціни поточній ринковій ситуації зазначене значення прийнято як очікувана вартість предмета закупівлі.</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2CCD801A" w:rsidR="00786206" w:rsidRPr="00D50637" w:rsidRDefault="008B16D5" w:rsidP="001E67B5">
            <w:pPr>
              <w:tabs>
                <w:tab w:val="left" w:pos="7088"/>
              </w:tabs>
              <w:jc w:val="both"/>
              <w:rPr>
                <w:color w:val="000000"/>
                <w:sz w:val="28"/>
                <w:szCs w:val="28"/>
              </w:rPr>
            </w:pPr>
            <w:r w:rsidRPr="00D50637">
              <w:rPr>
                <w:color w:val="000000"/>
                <w:sz w:val="28"/>
                <w:szCs w:val="28"/>
              </w:rPr>
              <w:t>12 послуг</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D50637" w:rsidRDefault="008B16D5" w:rsidP="002B2A2F">
            <w:pPr>
              <w:tabs>
                <w:tab w:val="left" w:pos="7088"/>
              </w:tabs>
              <w:jc w:val="both"/>
              <w:rPr>
                <w:color w:val="000000"/>
                <w:sz w:val="28"/>
                <w:szCs w:val="28"/>
              </w:rPr>
            </w:pPr>
            <w:r w:rsidRPr="00D50637">
              <w:rPr>
                <w:color w:val="000000"/>
                <w:sz w:val="28"/>
                <w:szCs w:val="28"/>
              </w:rPr>
              <w:t>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lastRenderedPageBreak/>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69C4887C" w14:textId="433A1CDF" w:rsidR="008B16D5" w:rsidRPr="00D50637" w:rsidRDefault="00084BA0" w:rsidP="002B2A2F">
            <w:pPr>
              <w:tabs>
                <w:tab w:val="left" w:pos="7088"/>
              </w:tabs>
              <w:jc w:val="both"/>
              <w:rPr>
                <w:color w:val="000000"/>
                <w:sz w:val="28"/>
                <w:szCs w:val="28"/>
              </w:rPr>
            </w:pPr>
            <w:r w:rsidRPr="00D50637">
              <w:rPr>
                <w:color w:val="000000"/>
                <w:sz w:val="28"/>
                <w:szCs w:val="28"/>
              </w:rPr>
              <w:t xml:space="preserve">Київська обл., Бучанський район, смт. Пісківка, вул. Лісна, 84б (Метеорологічна станція </w:t>
            </w:r>
            <w:r w:rsidR="00D50637" w:rsidRPr="00D50637">
              <w:rPr>
                <w:color w:val="000000"/>
                <w:sz w:val="28"/>
                <w:szCs w:val="28"/>
              </w:rPr>
              <w:t>Пісківка</w:t>
            </w:r>
            <w:r w:rsidRPr="00D50637">
              <w:rPr>
                <w:color w:val="000000"/>
                <w:sz w:val="28"/>
                <w:szCs w:val="28"/>
              </w:rPr>
              <w:t>)</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2D83BF2E" w:rsidR="007240ED" w:rsidRPr="00D50637" w:rsidRDefault="007240ED" w:rsidP="002B2A2F">
            <w:pPr>
              <w:tabs>
                <w:tab w:val="left" w:pos="7088"/>
              </w:tabs>
              <w:jc w:val="both"/>
              <w:rPr>
                <w:color w:val="000000"/>
                <w:sz w:val="28"/>
                <w:szCs w:val="28"/>
              </w:rPr>
            </w:pPr>
            <w:r w:rsidRPr="00D50637">
              <w:rPr>
                <w:color w:val="000000"/>
                <w:sz w:val="28"/>
                <w:szCs w:val="28"/>
              </w:rPr>
              <w:t>з 01.01.202</w:t>
            </w:r>
            <w:r w:rsidR="00D50637" w:rsidRPr="00D50637">
              <w:rPr>
                <w:color w:val="000000"/>
                <w:sz w:val="28"/>
                <w:szCs w:val="28"/>
              </w:rPr>
              <w:t>6</w:t>
            </w:r>
            <w:r w:rsidRPr="00D50637">
              <w:rPr>
                <w:color w:val="000000"/>
                <w:sz w:val="28"/>
                <w:szCs w:val="28"/>
              </w:rPr>
              <w:t xml:space="preserve"> по 31.12.202</w:t>
            </w:r>
            <w:r w:rsidR="00D50637" w:rsidRPr="00D50637">
              <w:rPr>
                <w:color w:val="000000"/>
                <w:sz w:val="28"/>
                <w:szCs w:val="28"/>
              </w:rPr>
              <w:t>6</w:t>
            </w:r>
            <w:r w:rsidRPr="00D50637">
              <w:rPr>
                <w:color w:val="000000"/>
                <w:sz w:val="28"/>
                <w:szCs w:val="28"/>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62EF"/>
    <w:rsid w:val="00044D19"/>
    <w:rsid w:val="000619D7"/>
    <w:rsid w:val="000762F0"/>
    <w:rsid w:val="00084BA0"/>
    <w:rsid w:val="000D58DF"/>
    <w:rsid w:val="00151E6B"/>
    <w:rsid w:val="00173A22"/>
    <w:rsid w:val="001B53FC"/>
    <w:rsid w:val="001E67B5"/>
    <w:rsid w:val="00262B69"/>
    <w:rsid w:val="00267EAA"/>
    <w:rsid w:val="002B2A2F"/>
    <w:rsid w:val="0031588C"/>
    <w:rsid w:val="00352383"/>
    <w:rsid w:val="00362587"/>
    <w:rsid w:val="00372B9D"/>
    <w:rsid w:val="00385363"/>
    <w:rsid w:val="00391B7F"/>
    <w:rsid w:val="003A0EC8"/>
    <w:rsid w:val="003B370D"/>
    <w:rsid w:val="003D614C"/>
    <w:rsid w:val="003E72FC"/>
    <w:rsid w:val="00401687"/>
    <w:rsid w:val="004135EC"/>
    <w:rsid w:val="0044658B"/>
    <w:rsid w:val="0046333C"/>
    <w:rsid w:val="00466324"/>
    <w:rsid w:val="00490462"/>
    <w:rsid w:val="004A0D6F"/>
    <w:rsid w:val="004E51C8"/>
    <w:rsid w:val="004F5370"/>
    <w:rsid w:val="00512B41"/>
    <w:rsid w:val="00546B1C"/>
    <w:rsid w:val="005B0AF2"/>
    <w:rsid w:val="0060089A"/>
    <w:rsid w:val="006A04FF"/>
    <w:rsid w:val="006C2C4F"/>
    <w:rsid w:val="006D364A"/>
    <w:rsid w:val="006D4AE9"/>
    <w:rsid w:val="006E67B0"/>
    <w:rsid w:val="006F071B"/>
    <w:rsid w:val="00716879"/>
    <w:rsid w:val="00720696"/>
    <w:rsid w:val="007240ED"/>
    <w:rsid w:val="007571FE"/>
    <w:rsid w:val="00786206"/>
    <w:rsid w:val="008033BA"/>
    <w:rsid w:val="008135E2"/>
    <w:rsid w:val="00816282"/>
    <w:rsid w:val="008B16D5"/>
    <w:rsid w:val="008B485A"/>
    <w:rsid w:val="008D3EE3"/>
    <w:rsid w:val="008F1694"/>
    <w:rsid w:val="00900F3C"/>
    <w:rsid w:val="00925E5C"/>
    <w:rsid w:val="009C5CEE"/>
    <w:rsid w:val="009C62D3"/>
    <w:rsid w:val="009F6FC5"/>
    <w:rsid w:val="00A31158"/>
    <w:rsid w:val="00A62B74"/>
    <w:rsid w:val="00A96C42"/>
    <w:rsid w:val="00AB2ABD"/>
    <w:rsid w:val="00B55FBB"/>
    <w:rsid w:val="00B931B1"/>
    <w:rsid w:val="00BA6D41"/>
    <w:rsid w:val="00BB6DFE"/>
    <w:rsid w:val="00BD639F"/>
    <w:rsid w:val="00BF57A5"/>
    <w:rsid w:val="00C071B3"/>
    <w:rsid w:val="00C10D7B"/>
    <w:rsid w:val="00C2448C"/>
    <w:rsid w:val="00C64862"/>
    <w:rsid w:val="00C80D56"/>
    <w:rsid w:val="00C829F0"/>
    <w:rsid w:val="00CA1C25"/>
    <w:rsid w:val="00CB690E"/>
    <w:rsid w:val="00CF3652"/>
    <w:rsid w:val="00D10C6C"/>
    <w:rsid w:val="00D50637"/>
    <w:rsid w:val="00D56B3C"/>
    <w:rsid w:val="00D76790"/>
    <w:rsid w:val="00D86AEC"/>
    <w:rsid w:val="00D93327"/>
    <w:rsid w:val="00DA262B"/>
    <w:rsid w:val="00DB5748"/>
    <w:rsid w:val="00DD1E26"/>
    <w:rsid w:val="00E1278E"/>
    <w:rsid w:val="00E67049"/>
    <w:rsid w:val="00E83929"/>
    <w:rsid w:val="00E86EC3"/>
    <w:rsid w:val="00F34375"/>
    <w:rsid w:val="00F734CA"/>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3B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3164</Words>
  <Characters>1805</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CGO1</cp:lastModifiedBy>
  <cp:revision>4</cp:revision>
  <cp:lastPrinted>2023-04-14T10:13:00Z</cp:lastPrinted>
  <dcterms:created xsi:type="dcterms:W3CDTF">2024-12-11T13:12:00Z</dcterms:created>
  <dcterms:modified xsi:type="dcterms:W3CDTF">2025-12-04T16:01:00Z</dcterms:modified>
</cp:coreProperties>
</file>