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F17CB" w14:textId="77777777" w:rsidR="00490462" w:rsidRPr="00C80D56" w:rsidRDefault="00786206" w:rsidP="00490462">
      <w:pPr>
        <w:pBdr>
          <w:top w:val="nil"/>
          <w:left w:val="nil"/>
          <w:bottom w:val="nil"/>
          <w:right w:val="nil"/>
          <w:between w:val="nil"/>
        </w:pBdr>
        <w:tabs>
          <w:tab w:val="left" w:pos="7088"/>
        </w:tabs>
        <w:jc w:val="right"/>
        <w:rPr>
          <w:color w:val="000000"/>
          <w:sz w:val="24"/>
          <w:szCs w:val="24"/>
        </w:rPr>
      </w:pPr>
      <w:r>
        <w:rPr>
          <w:sz w:val="24"/>
          <w:szCs w:val="24"/>
        </w:rPr>
        <w:t xml:space="preserve"> </w:t>
      </w:r>
    </w:p>
    <w:p w14:paraId="0F807D72" w14:textId="77777777" w:rsidR="00490462" w:rsidRPr="00490462" w:rsidRDefault="00490462" w:rsidP="00490462">
      <w:pPr>
        <w:pBdr>
          <w:top w:val="nil"/>
          <w:left w:val="nil"/>
          <w:bottom w:val="nil"/>
          <w:right w:val="nil"/>
          <w:between w:val="nil"/>
        </w:pBdr>
        <w:tabs>
          <w:tab w:val="left" w:pos="7088"/>
        </w:tabs>
        <w:jc w:val="right"/>
        <w:rPr>
          <w:color w:val="000000"/>
          <w:sz w:val="28"/>
          <w:szCs w:val="16"/>
        </w:rPr>
      </w:pPr>
      <w:r w:rsidRPr="00490462">
        <w:rPr>
          <w:color w:val="000000"/>
          <w:sz w:val="28"/>
          <w:szCs w:val="16"/>
        </w:rPr>
        <w:tab/>
      </w:r>
      <w:r w:rsidRPr="00490462">
        <w:rPr>
          <w:color w:val="000000"/>
          <w:sz w:val="28"/>
          <w:szCs w:val="16"/>
        </w:rPr>
        <w:tab/>
      </w:r>
    </w:p>
    <w:p w14:paraId="2F4B704C" w14:textId="02DB53C6" w:rsidR="00786206" w:rsidRPr="00786206" w:rsidRDefault="00372B9D" w:rsidP="00786206">
      <w:pPr>
        <w:spacing w:line="259" w:lineRule="auto"/>
        <w:jc w:val="center"/>
        <w:rPr>
          <w:rFonts w:eastAsia="Calibri"/>
          <w:b/>
          <w:sz w:val="24"/>
          <w:szCs w:val="24"/>
          <w:lang w:eastAsia="en-US"/>
        </w:rPr>
      </w:pPr>
      <w:r>
        <w:rPr>
          <w:rFonts w:eastAsia="Calibri"/>
          <w:b/>
          <w:caps/>
          <w:sz w:val="24"/>
          <w:szCs w:val="24"/>
          <w:lang w:eastAsia="en-US"/>
        </w:rPr>
        <w:t>ЦЕНТРАЛЬНА ГЕОФІЗИЧНА ОБСЕРВАТОРІЯ ІМЕНІ БОРИСА СРЕЗНЕВСЬКОГО</w:t>
      </w:r>
    </w:p>
    <w:p w14:paraId="7C1FCEA6" w14:textId="77777777" w:rsidR="00786206" w:rsidRPr="00786206" w:rsidRDefault="00786206" w:rsidP="00786206">
      <w:pPr>
        <w:spacing w:line="259" w:lineRule="auto"/>
        <w:jc w:val="center"/>
        <w:rPr>
          <w:rFonts w:eastAsia="Calibri"/>
          <w:b/>
          <w:sz w:val="24"/>
          <w:szCs w:val="24"/>
          <w:lang w:eastAsia="en-US"/>
        </w:rPr>
      </w:pPr>
    </w:p>
    <w:p w14:paraId="6B47BB9A" w14:textId="77777777" w:rsidR="00786206" w:rsidRPr="00786206" w:rsidRDefault="00786206" w:rsidP="00786206">
      <w:pPr>
        <w:spacing w:line="259" w:lineRule="auto"/>
        <w:jc w:val="center"/>
        <w:rPr>
          <w:rFonts w:eastAsia="Calibri"/>
          <w:b/>
          <w:bCs/>
          <w:sz w:val="24"/>
          <w:szCs w:val="24"/>
          <w:lang w:eastAsia="en-US"/>
        </w:rPr>
      </w:pPr>
      <w:r w:rsidRPr="00786206">
        <w:rPr>
          <w:rFonts w:eastAsia="Calibri"/>
          <w:b/>
          <w:bCs/>
          <w:sz w:val="24"/>
          <w:szCs w:val="24"/>
          <w:lang w:eastAsia="en-US"/>
        </w:rPr>
        <w:t>ОБҐРУНТУВАННЯ</w:t>
      </w:r>
    </w:p>
    <w:p w14:paraId="39F4E22E" w14:textId="77777777" w:rsidR="00786206" w:rsidRPr="00786206" w:rsidRDefault="00786206" w:rsidP="00786206">
      <w:pPr>
        <w:spacing w:line="259" w:lineRule="auto"/>
        <w:jc w:val="center"/>
        <w:rPr>
          <w:rFonts w:eastAsia="Calibri"/>
          <w:b/>
          <w:bCs/>
          <w:sz w:val="24"/>
          <w:szCs w:val="24"/>
          <w:lang w:eastAsia="en-US"/>
        </w:rPr>
      </w:pPr>
      <w:r w:rsidRPr="00786206">
        <w:rPr>
          <w:rFonts w:eastAsia="Calibri"/>
          <w:b/>
          <w:bCs/>
          <w:sz w:val="24"/>
          <w:szCs w:val="24"/>
          <w:lang w:eastAsia="en-US"/>
        </w:rPr>
        <w:t>технічних та якісних характеристик закупівлі, розміру бюджетного призначення, очікуваної вартості предмета закупівлі</w:t>
      </w:r>
    </w:p>
    <w:p w14:paraId="0295D375" w14:textId="77777777" w:rsidR="00786206" w:rsidRPr="00786206" w:rsidRDefault="00786206" w:rsidP="00786206">
      <w:pPr>
        <w:spacing w:line="259" w:lineRule="auto"/>
        <w:jc w:val="center"/>
        <w:rPr>
          <w:rFonts w:eastAsia="Calibri"/>
          <w:b/>
          <w:bCs/>
          <w:sz w:val="24"/>
          <w:szCs w:val="24"/>
          <w:lang w:eastAsia="en-US"/>
        </w:rPr>
      </w:pPr>
    </w:p>
    <w:p w14:paraId="48DDF3B0" w14:textId="77777777" w:rsidR="00786206" w:rsidRDefault="00786206" w:rsidP="00786206">
      <w:pPr>
        <w:suppressAutoHyphens/>
        <w:autoSpaceDN w:val="0"/>
        <w:jc w:val="center"/>
        <w:textAlignment w:val="baseline"/>
        <w:rPr>
          <w:rFonts w:eastAsia="Calibri"/>
          <w:bCs/>
          <w:i/>
          <w:iCs/>
          <w:kern w:val="3"/>
          <w:sz w:val="24"/>
          <w:szCs w:val="24"/>
          <w:lang w:eastAsia="en-US"/>
        </w:rPr>
      </w:pPr>
      <w:r w:rsidRPr="00786206">
        <w:rPr>
          <w:rFonts w:eastAsia="Calibri"/>
          <w:bCs/>
          <w:i/>
          <w:iCs/>
          <w:kern w:val="3"/>
          <w:sz w:val="24"/>
          <w:szCs w:val="24"/>
          <w:lang w:eastAsia="en-US"/>
        </w:rPr>
        <w:t>(оприлюднюється на виконання постанови КМУ від 11.10.2016 № 710 «Про ефективне використання державних коштів» (зі змінами))</w:t>
      </w:r>
    </w:p>
    <w:p w14:paraId="05DA8C06" w14:textId="77777777" w:rsidR="00786206" w:rsidRPr="00786206" w:rsidRDefault="00786206" w:rsidP="00786206">
      <w:pPr>
        <w:suppressAutoHyphens/>
        <w:autoSpaceDN w:val="0"/>
        <w:jc w:val="center"/>
        <w:textAlignment w:val="baseline"/>
        <w:rPr>
          <w:rFonts w:eastAsia="Calibri"/>
          <w:kern w:val="3"/>
          <w:sz w:val="24"/>
          <w:szCs w:val="24"/>
          <w:lang w:eastAsia="en-US"/>
        </w:rPr>
      </w:pPr>
    </w:p>
    <w:tbl>
      <w:tblPr>
        <w:tblStyle w:val="aa"/>
        <w:tblW w:w="0" w:type="auto"/>
        <w:tblLook w:val="04A0" w:firstRow="1" w:lastRow="0" w:firstColumn="1" w:lastColumn="0" w:noHBand="0" w:noVBand="1"/>
      </w:tblPr>
      <w:tblGrid>
        <w:gridCol w:w="670"/>
        <w:gridCol w:w="6568"/>
        <w:gridCol w:w="8455"/>
      </w:tblGrid>
      <w:tr w:rsidR="009C5CEE" w14:paraId="32F91F20" w14:textId="77777777" w:rsidTr="00FD0948">
        <w:tc>
          <w:tcPr>
            <w:tcW w:w="675" w:type="dxa"/>
          </w:tcPr>
          <w:p w14:paraId="2C3A6792" w14:textId="77777777" w:rsidR="009C5CEE" w:rsidRPr="00FD0948" w:rsidRDefault="009C5CEE" w:rsidP="004A275D">
            <w:pPr>
              <w:tabs>
                <w:tab w:val="left" w:pos="7088"/>
              </w:tabs>
              <w:jc w:val="center"/>
              <w:rPr>
                <w:color w:val="000000"/>
                <w:sz w:val="24"/>
                <w:szCs w:val="24"/>
              </w:rPr>
            </w:pPr>
            <w:r w:rsidRPr="00FD0948">
              <w:rPr>
                <w:color w:val="000000"/>
                <w:sz w:val="24"/>
                <w:szCs w:val="24"/>
              </w:rPr>
              <w:t>1</w:t>
            </w:r>
          </w:p>
        </w:tc>
        <w:tc>
          <w:tcPr>
            <w:tcW w:w="6663" w:type="dxa"/>
          </w:tcPr>
          <w:p w14:paraId="57A41804" w14:textId="77777777" w:rsidR="009C5CEE" w:rsidRPr="00FD0948" w:rsidRDefault="009C5CEE" w:rsidP="004A275D">
            <w:pPr>
              <w:tabs>
                <w:tab w:val="left" w:pos="7088"/>
              </w:tabs>
              <w:rPr>
                <w:b/>
                <w:sz w:val="24"/>
                <w:szCs w:val="24"/>
              </w:rPr>
            </w:pPr>
            <w:r w:rsidRPr="00FD0948">
              <w:rPr>
                <w:b/>
                <w:sz w:val="24"/>
                <w:szCs w:val="24"/>
              </w:rPr>
              <w:t>Найменування, місцезнаходження та ідентифікаційний код замовника в</w:t>
            </w:r>
            <w:r w:rsidR="00FD0948">
              <w:rPr>
                <w:b/>
                <w:sz w:val="24"/>
                <w:szCs w:val="24"/>
              </w:rPr>
              <w:t xml:space="preserve"> </w:t>
            </w:r>
            <w:r w:rsidRPr="00FD0948">
              <w:rPr>
                <w:b/>
                <w:sz w:val="24"/>
                <w:szCs w:val="24"/>
              </w:rPr>
              <w:t xml:space="preserve">Єдиному державному реєстрі юридичних осіб, фізичних осіб </w:t>
            </w:r>
            <w:r w:rsidR="00FD0948" w:rsidRPr="00FD0948">
              <w:rPr>
                <w:b/>
                <w:sz w:val="24"/>
                <w:szCs w:val="24"/>
              </w:rPr>
              <w:t>–</w:t>
            </w:r>
            <w:r w:rsidRPr="00FD0948">
              <w:rPr>
                <w:b/>
                <w:sz w:val="24"/>
                <w:szCs w:val="24"/>
              </w:rPr>
              <w:t xml:space="preserve"> підприємців</w:t>
            </w:r>
            <w:r w:rsidR="00FD0948" w:rsidRPr="00FD0948">
              <w:rPr>
                <w:b/>
                <w:sz w:val="24"/>
                <w:szCs w:val="24"/>
              </w:rPr>
              <w:t xml:space="preserve"> </w:t>
            </w:r>
            <w:r w:rsidRPr="00FD0948">
              <w:rPr>
                <w:b/>
                <w:sz w:val="24"/>
                <w:szCs w:val="24"/>
              </w:rPr>
              <w:t>та громадських формувань, його категорія:</w:t>
            </w:r>
          </w:p>
        </w:tc>
        <w:tc>
          <w:tcPr>
            <w:tcW w:w="8581" w:type="dxa"/>
          </w:tcPr>
          <w:p w14:paraId="5C9B69F9" w14:textId="77777777" w:rsidR="00372B9D" w:rsidRPr="004A275D" w:rsidRDefault="00372B9D" w:rsidP="004A275D">
            <w:pPr>
              <w:tabs>
                <w:tab w:val="left" w:pos="7088"/>
              </w:tabs>
              <w:jc w:val="both"/>
              <w:rPr>
                <w:color w:val="000000"/>
                <w:sz w:val="28"/>
                <w:szCs w:val="28"/>
              </w:rPr>
            </w:pPr>
            <w:r w:rsidRPr="004A275D">
              <w:rPr>
                <w:color w:val="000000"/>
                <w:sz w:val="28"/>
                <w:szCs w:val="28"/>
              </w:rPr>
              <w:t>Центральна геофізична обсерваторія імені Бориса Срезневського</w:t>
            </w:r>
          </w:p>
          <w:p w14:paraId="513D549E" w14:textId="77777777" w:rsidR="00372B9D" w:rsidRPr="004A275D" w:rsidRDefault="00372B9D" w:rsidP="004A275D">
            <w:pPr>
              <w:tabs>
                <w:tab w:val="left" w:pos="7088"/>
              </w:tabs>
              <w:jc w:val="both"/>
              <w:rPr>
                <w:color w:val="000000"/>
                <w:sz w:val="28"/>
                <w:szCs w:val="28"/>
              </w:rPr>
            </w:pPr>
            <w:r w:rsidRPr="004A275D">
              <w:rPr>
                <w:color w:val="000000"/>
                <w:sz w:val="28"/>
                <w:szCs w:val="28"/>
              </w:rPr>
              <w:t xml:space="preserve">03028, Україна, м. Київ, проспект Науки, 39, корпус 2 </w:t>
            </w:r>
          </w:p>
          <w:p w14:paraId="2C46CB7C" w14:textId="38E3FF1A" w:rsidR="007571FE" w:rsidRPr="004A275D" w:rsidRDefault="00372B9D" w:rsidP="004A275D">
            <w:pPr>
              <w:tabs>
                <w:tab w:val="left" w:pos="7088"/>
              </w:tabs>
              <w:jc w:val="both"/>
              <w:rPr>
                <w:color w:val="000000"/>
                <w:sz w:val="28"/>
                <w:szCs w:val="28"/>
              </w:rPr>
            </w:pPr>
            <w:r w:rsidRPr="004A275D">
              <w:rPr>
                <w:color w:val="000000"/>
                <w:sz w:val="28"/>
                <w:szCs w:val="28"/>
              </w:rPr>
              <w:t>Код ЄДРПОУ: 22864480</w:t>
            </w:r>
          </w:p>
        </w:tc>
      </w:tr>
      <w:tr w:rsidR="009C5CEE" w14:paraId="1F6DD4BB" w14:textId="77777777" w:rsidTr="00FD0948">
        <w:tc>
          <w:tcPr>
            <w:tcW w:w="675" w:type="dxa"/>
          </w:tcPr>
          <w:p w14:paraId="1A2BE89E" w14:textId="77777777" w:rsidR="009C5CEE" w:rsidRPr="00FD0948" w:rsidRDefault="009C5CEE" w:rsidP="004A275D">
            <w:pPr>
              <w:tabs>
                <w:tab w:val="left" w:pos="7088"/>
              </w:tabs>
              <w:jc w:val="center"/>
              <w:rPr>
                <w:color w:val="000000"/>
                <w:sz w:val="24"/>
                <w:szCs w:val="24"/>
              </w:rPr>
            </w:pPr>
            <w:r w:rsidRPr="00FD0948">
              <w:rPr>
                <w:color w:val="000000"/>
                <w:sz w:val="24"/>
                <w:szCs w:val="24"/>
              </w:rPr>
              <w:t>2</w:t>
            </w:r>
          </w:p>
        </w:tc>
        <w:tc>
          <w:tcPr>
            <w:tcW w:w="6663" w:type="dxa"/>
          </w:tcPr>
          <w:p w14:paraId="2187AEA5" w14:textId="77777777" w:rsidR="009C5CEE" w:rsidRPr="00FD0948" w:rsidRDefault="009C5CEE" w:rsidP="004A275D">
            <w:pPr>
              <w:tabs>
                <w:tab w:val="left" w:pos="7088"/>
              </w:tabs>
              <w:rPr>
                <w:b/>
                <w:sz w:val="24"/>
                <w:szCs w:val="24"/>
              </w:rPr>
            </w:pPr>
            <w:r w:rsidRPr="00FD0948">
              <w:rPr>
                <w:b/>
                <w:sz w:val="24"/>
                <w:szCs w:val="24"/>
              </w:rPr>
              <w:t>Назва предмета закупівлі із зазначенням коду за Єдиним закупівельним</w:t>
            </w:r>
            <w:r w:rsidR="00FD0948" w:rsidRPr="00FD0948">
              <w:rPr>
                <w:b/>
                <w:sz w:val="24"/>
                <w:szCs w:val="24"/>
              </w:rPr>
              <w:t xml:space="preserve"> </w:t>
            </w:r>
            <w:r w:rsidRPr="00FD0948">
              <w:rPr>
                <w:b/>
                <w:sz w:val="24"/>
                <w:szCs w:val="24"/>
              </w:rPr>
              <w:t>словником (у разі поділу на лоти такі відомості повинні зазначатися</w:t>
            </w:r>
          </w:p>
          <w:p w14:paraId="6D43C116" w14:textId="77777777" w:rsidR="009C5CEE" w:rsidRPr="00FD0948" w:rsidRDefault="009C5CEE" w:rsidP="004A275D">
            <w:pPr>
              <w:tabs>
                <w:tab w:val="left" w:pos="7088"/>
              </w:tabs>
              <w:rPr>
                <w:b/>
                <w:sz w:val="24"/>
                <w:szCs w:val="24"/>
              </w:rPr>
            </w:pPr>
            <w:r w:rsidRPr="00FD0948">
              <w:rPr>
                <w:b/>
                <w:sz w:val="24"/>
                <w:szCs w:val="24"/>
              </w:rPr>
              <w:t>стосовно кожного лота) та назви відповідних класифікаторів предмета</w:t>
            </w:r>
            <w:r w:rsidR="00FD0948" w:rsidRPr="00FD0948">
              <w:rPr>
                <w:b/>
                <w:sz w:val="24"/>
                <w:szCs w:val="24"/>
              </w:rPr>
              <w:t xml:space="preserve"> </w:t>
            </w:r>
            <w:r w:rsidRPr="00FD0948">
              <w:rPr>
                <w:b/>
                <w:sz w:val="24"/>
                <w:szCs w:val="24"/>
              </w:rPr>
              <w:t>закупівлі і частин предмета закупівлі (лотів) (за наявності):</w:t>
            </w:r>
          </w:p>
        </w:tc>
        <w:tc>
          <w:tcPr>
            <w:tcW w:w="8581" w:type="dxa"/>
          </w:tcPr>
          <w:p w14:paraId="7D3E4143" w14:textId="77777777" w:rsidR="008B16D5" w:rsidRPr="004A275D" w:rsidRDefault="008B16D5" w:rsidP="004A275D">
            <w:pPr>
              <w:tabs>
                <w:tab w:val="left" w:pos="7088"/>
              </w:tabs>
              <w:jc w:val="both"/>
              <w:rPr>
                <w:color w:val="000000" w:themeColor="text1"/>
                <w:sz w:val="28"/>
                <w:szCs w:val="28"/>
                <w:shd w:val="clear" w:color="auto" w:fill="FFFFFF"/>
              </w:rPr>
            </w:pPr>
            <w:r w:rsidRPr="004A275D">
              <w:rPr>
                <w:color w:val="000000" w:themeColor="text1"/>
                <w:sz w:val="28"/>
                <w:szCs w:val="28"/>
                <w:shd w:val="clear" w:color="auto" w:fill="FFFFFF"/>
              </w:rPr>
              <w:t>Послуги доступу до мережі Інтернет</w:t>
            </w:r>
          </w:p>
          <w:p w14:paraId="2856A7BD" w14:textId="585A9615" w:rsidR="009C5CEE" w:rsidRPr="004A275D" w:rsidRDefault="008B16D5" w:rsidP="004A275D">
            <w:pPr>
              <w:tabs>
                <w:tab w:val="left" w:pos="7088"/>
              </w:tabs>
              <w:jc w:val="both"/>
              <w:rPr>
                <w:color w:val="000000" w:themeColor="text1"/>
                <w:sz w:val="28"/>
                <w:szCs w:val="28"/>
                <w:lang w:val="ru-RU"/>
              </w:rPr>
            </w:pPr>
            <w:r w:rsidRPr="004A275D">
              <w:rPr>
                <w:color w:val="000000" w:themeColor="text1"/>
                <w:sz w:val="28"/>
                <w:szCs w:val="28"/>
                <w:shd w:val="clear" w:color="auto" w:fill="FFFFFF"/>
              </w:rPr>
              <w:t>Код ДК 021:2015 – 72410000-7- «Послуги провайдерів»</w:t>
            </w:r>
          </w:p>
        </w:tc>
      </w:tr>
      <w:tr w:rsidR="009C5CEE" w14:paraId="35769D9F" w14:textId="77777777" w:rsidTr="00FD0948">
        <w:tc>
          <w:tcPr>
            <w:tcW w:w="675" w:type="dxa"/>
          </w:tcPr>
          <w:p w14:paraId="5386BFF5" w14:textId="77777777" w:rsidR="009C5CEE" w:rsidRPr="00FD0948" w:rsidRDefault="009C5CEE" w:rsidP="004A275D">
            <w:pPr>
              <w:tabs>
                <w:tab w:val="left" w:pos="7088"/>
              </w:tabs>
              <w:jc w:val="center"/>
              <w:rPr>
                <w:color w:val="000000"/>
                <w:sz w:val="24"/>
                <w:szCs w:val="24"/>
              </w:rPr>
            </w:pPr>
            <w:r w:rsidRPr="00FD0948">
              <w:rPr>
                <w:color w:val="000000"/>
                <w:sz w:val="24"/>
                <w:szCs w:val="24"/>
              </w:rPr>
              <w:t>3</w:t>
            </w:r>
          </w:p>
        </w:tc>
        <w:tc>
          <w:tcPr>
            <w:tcW w:w="6663" w:type="dxa"/>
          </w:tcPr>
          <w:p w14:paraId="737EF26B" w14:textId="77777777" w:rsidR="009C5CEE" w:rsidRPr="00FD0948" w:rsidRDefault="009C5CEE" w:rsidP="004A275D">
            <w:pPr>
              <w:tabs>
                <w:tab w:val="left" w:pos="7088"/>
              </w:tabs>
              <w:rPr>
                <w:b/>
                <w:sz w:val="24"/>
                <w:szCs w:val="24"/>
              </w:rPr>
            </w:pPr>
            <w:r w:rsidRPr="00FD0948">
              <w:rPr>
                <w:b/>
                <w:sz w:val="24"/>
                <w:szCs w:val="24"/>
              </w:rPr>
              <w:t>Ідентифікатор закупівлі:</w:t>
            </w:r>
          </w:p>
        </w:tc>
        <w:tc>
          <w:tcPr>
            <w:tcW w:w="8581" w:type="dxa"/>
          </w:tcPr>
          <w:p w14:paraId="6826D998" w14:textId="42EBAE65" w:rsidR="009C5CEE" w:rsidRPr="004A275D" w:rsidRDefault="004A275D" w:rsidP="004A275D">
            <w:pPr>
              <w:tabs>
                <w:tab w:val="left" w:pos="7088"/>
              </w:tabs>
              <w:jc w:val="center"/>
              <w:rPr>
                <w:color w:val="000000"/>
                <w:sz w:val="28"/>
                <w:szCs w:val="28"/>
              </w:rPr>
            </w:pPr>
            <w:r w:rsidRPr="004A275D">
              <w:rPr>
                <w:color w:val="454545"/>
                <w:sz w:val="28"/>
                <w:szCs w:val="28"/>
                <w:shd w:val="clear" w:color="auto" w:fill="F0F5F2"/>
              </w:rPr>
              <w:t>UA-2025-12-03-015310-a</w:t>
            </w:r>
          </w:p>
        </w:tc>
      </w:tr>
      <w:tr w:rsidR="009C5CEE" w14:paraId="09EB250A" w14:textId="77777777" w:rsidTr="00FD0948">
        <w:tc>
          <w:tcPr>
            <w:tcW w:w="675" w:type="dxa"/>
          </w:tcPr>
          <w:p w14:paraId="2289AAD7" w14:textId="77777777" w:rsidR="009C5CEE" w:rsidRPr="00FD0948" w:rsidRDefault="009C5CEE" w:rsidP="004A275D">
            <w:pPr>
              <w:tabs>
                <w:tab w:val="left" w:pos="7088"/>
              </w:tabs>
              <w:jc w:val="center"/>
              <w:rPr>
                <w:color w:val="000000"/>
                <w:sz w:val="24"/>
                <w:szCs w:val="24"/>
              </w:rPr>
            </w:pPr>
            <w:r w:rsidRPr="00FD0948">
              <w:rPr>
                <w:color w:val="000000"/>
                <w:sz w:val="24"/>
                <w:szCs w:val="24"/>
              </w:rPr>
              <w:t>4</w:t>
            </w:r>
          </w:p>
        </w:tc>
        <w:tc>
          <w:tcPr>
            <w:tcW w:w="6663" w:type="dxa"/>
          </w:tcPr>
          <w:p w14:paraId="166BB7ED" w14:textId="77777777" w:rsidR="009C5CEE" w:rsidRPr="00FD0948" w:rsidRDefault="009C5CEE" w:rsidP="004A275D">
            <w:pPr>
              <w:tabs>
                <w:tab w:val="left" w:pos="7088"/>
              </w:tabs>
              <w:rPr>
                <w:b/>
                <w:sz w:val="24"/>
                <w:szCs w:val="24"/>
              </w:rPr>
            </w:pPr>
            <w:r w:rsidRPr="00FD0948">
              <w:rPr>
                <w:b/>
                <w:sz w:val="24"/>
                <w:szCs w:val="24"/>
              </w:rPr>
              <w:t>Обґрунтування технічних та якісних характеристик предмета закупівлі:</w:t>
            </w:r>
          </w:p>
        </w:tc>
        <w:tc>
          <w:tcPr>
            <w:tcW w:w="8581" w:type="dxa"/>
          </w:tcPr>
          <w:p w14:paraId="7FC2A27A" w14:textId="77777777" w:rsidR="004A275D" w:rsidRPr="004A275D" w:rsidRDefault="004A275D" w:rsidP="004A275D">
            <w:pPr>
              <w:jc w:val="both"/>
              <w:rPr>
                <w:rFonts w:eastAsia="Aptos"/>
                <w:kern w:val="36"/>
                <w:sz w:val="28"/>
                <w:szCs w:val="28"/>
                <w:lang w:eastAsia="en-US"/>
                <w14:ligatures w14:val="standardContextual"/>
              </w:rPr>
            </w:pPr>
            <w:r w:rsidRPr="004A275D">
              <w:rPr>
                <w:rFonts w:eastAsia="Aptos"/>
                <w:kern w:val="36"/>
                <w:sz w:val="28"/>
                <w:szCs w:val="28"/>
                <w:lang w:eastAsia="en-US"/>
                <w14:ligatures w14:val="standardContextual"/>
              </w:rPr>
              <w:t xml:space="preserve">Тип підключення: оптоволоконний зв’язок </w:t>
            </w:r>
          </w:p>
          <w:p w14:paraId="68E01FAC" w14:textId="77777777" w:rsidR="004A275D" w:rsidRPr="004A275D" w:rsidRDefault="004A275D" w:rsidP="004A275D">
            <w:pPr>
              <w:jc w:val="both"/>
              <w:rPr>
                <w:rFonts w:eastAsia="Aptos"/>
                <w:kern w:val="36"/>
                <w:sz w:val="28"/>
                <w:szCs w:val="28"/>
                <w:lang w:eastAsia="en-US"/>
                <w14:ligatures w14:val="standardContextual"/>
              </w:rPr>
            </w:pPr>
            <w:r w:rsidRPr="004A275D">
              <w:rPr>
                <w:rFonts w:eastAsia="Aptos"/>
                <w:kern w:val="36"/>
                <w:sz w:val="28"/>
                <w:szCs w:val="28"/>
                <w:lang w:eastAsia="en-US"/>
                <w14:ligatures w14:val="standardContextual"/>
              </w:rPr>
              <w:t>Швидкість з’єднання:</w:t>
            </w:r>
          </w:p>
          <w:p w14:paraId="792C0556" w14:textId="77777777" w:rsidR="004A275D" w:rsidRPr="004A275D" w:rsidRDefault="004A275D" w:rsidP="004A275D">
            <w:pPr>
              <w:jc w:val="both"/>
              <w:rPr>
                <w:rFonts w:eastAsia="Aptos"/>
                <w:kern w:val="36"/>
                <w:sz w:val="28"/>
                <w:szCs w:val="28"/>
                <w:lang w:eastAsia="en-US"/>
                <w14:ligatures w14:val="standardContextual"/>
              </w:rPr>
            </w:pPr>
            <w:r w:rsidRPr="004A275D">
              <w:rPr>
                <w:rFonts w:eastAsia="Aptos"/>
                <w:kern w:val="36"/>
                <w:sz w:val="28"/>
                <w:szCs w:val="28"/>
                <w:lang w:eastAsia="en-US"/>
                <w14:ligatures w14:val="standardContextual"/>
              </w:rPr>
              <w:t>- не менше 200 Мбіт/</w:t>
            </w:r>
            <w:proofErr w:type="spellStart"/>
            <w:r w:rsidRPr="004A275D">
              <w:rPr>
                <w:rFonts w:eastAsia="Aptos"/>
                <w:kern w:val="36"/>
                <w:sz w:val="28"/>
                <w:szCs w:val="28"/>
                <w:lang w:eastAsia="en-US"/>
                <w14:ligatures w14:val="standardContextual"/>
              </w:rPr>
              <w:t>сек</w:t>
            </w:r>
            <w:proofErr w:type="spellEnd"/>
            <w:r w:rsidRPr="004A275D">
              <w:rPr>
                <w:rFonts w:eastAsia="Aptos"/>
                <w:kern w:val="36"/>
                <w:sz w:val="28"/>
                <w:szCs w:val="28"/>
                <w:lang w:eastAsia="en-US"/>
                <w14:ligatures w14:val="standardContextual"/>
              </w:rPr>
              <w:t xml:space="preserve">., на адресу м. Київ, проспект Науки, 39 </w:t>
            </w:r>
            <w:proofErr w:type="spellStart"/>
            <w:r w:rsidRPr="004A275D">
              <w:rPr>
                <w:rFonts w:eastAsia="Aptos"/>
                <w:kern w:val="36"/>
                <w:sz w:val="28"/>
                <w:szCs w:val="28"/>
                <w:lang w:eastAsia="en-US"/>
                <w14:ligatures w14:val="standardContextual"/>
              </w:rPr>
              <w:t>корп</w:t>
            </w:r>
            <w:proofErr w:type="spellEnd"/>
            <w:r w:rsidRPr="004A275D">
              <w:rPr>
                <w:rFonts w:eastAsia="Aptos"/>
                <w:kern w:val="36"/>
                <w:sz w:val="28"/>
                <w:szCs w:val="28"/>
                <w:lang w:eastAsia="en-US"/>
                <w14:ligatures w14:val="standardContextual"/>
              </w:rPr>
              <w:t>. 2,</w:t>
            </w:r>
          </w:p>
          <w:p w14:paraId="28D5BE1D" w14:textId="77777777" w:rsidR="004A275D" w:rsidRPr="004A275D" w:rsidRDefault="004A275D" w:rsidP="004A275D">
            <w:pPr>
              <w:jc w:val="both"/>
              <w:rPr>
                <w:rFonts w:eastAsia="Aptos"/>
                <w:kern w:val="36"/>
                <w:sz w:val="28"/>
                <w:szCs w:val="28"/>
                <w:lang w:eastAsia="en-US"/>
                <w14:ligatures w14:val="standardContextual"/>
              </w:rPr>
            </w:pPr>
            <w:r w:rsidRPr="004A275D">
              <w:rPr>
                <w:rFonts w:eastAsia="Aptos"/>
                <w:kern w:val="36"/>
                <w:sz w:val="28"/>
                <w:szCs w:val="28"/>
                <w:lang w:eastAsia="en-US"/>
                <w14:ligatures w14:val="standardContextual"/>
              </w:rPr>
              <w:t>- не менше 30 Мбіт/</w:t>
            </w:r>
            <w:proofErr w:type="spellStart"/>
            <w:r w:rsidRPr="004A275D">
              <w:rPr>
                <w:rFonts w:eastAsia="Aptos"/>
                <w:kern w:val="36"/>
                <w:sz w:val="28"/>
                <w:szCs w:val="28"/>
                <w:lang w:eastAsia="en-US"/>
                <w14:ligatures w14:val="standardContextual"/>
              </w:rPr>
              <w:t>сек</w:t>
            </w:r>
            <w:proofErr w:type="spellEnd"/>
            <w:r w:rsidRPr="004A275D">
              <w:rPr>
                <w:rFonts w:eastAsia="Aptos"/>
                <w:kern w:val="36"/>
                <w:sz w:val="28"/>
                <w:szCs w:val="28"/>
                <w:lang w:eastAsia="en-US"/>
                <w14:ligatures w14:val="standardContextual"/>
              </w:rPr>
              <w:t>. на адресу  м. Київ, проспект Науки, 37</w:t>
            </w:r>
          </w:p>
          <w:p w14:paraId="2AEB1A68" w14:textId="77777777" w:rsidR="004A275D" w:rsidRPr="004A275D" w:rsidRDefault="004A275D" w:rsidP="004A275D">
            <w:pPr>
              <w:jc w:val="both"/>
              <w:rPr>
                <w:rFonts w:eastAsia="Aptos"/>
                <w:kern w:val="36"/>
                <w:sz w:val="28"/>
                <w:szCs w:val="28"/>
                <w:lang w:eastAsia="en-US"/>
                <w14:ligatures w14:val="standardContextual"/>
              </w:rPr>
            </w:pPr>
            <w:r w:rsidRPr="004A275D">
              <w:rPr>
                <w:rFonts w:eastAsia="Aptos"/>
                <w:kern w:val="36"/>
                <w:sz w:val="28"/>
                <w:szCs w:val="28"/>
                <w:lang w:eastAsia="en-US"/>
                <w14:ligatures w14:val="standardContextual"/>
              </w:rPr>
              <w:t xml:space="preserve">Резервне живлення: </w:t>
            </w:r>
            <w:r w:rsidRPr="004A275D">
              <w:rPr>
                <w:rFonts w:eastAsia="Aptos"/>
                <w:kern w:val="36"/>
                <w:sz w:val="28"/>
                <w:szCs w:val="28"/>
                <w:lang w:eastAsia="en-US"/>
                <w14:ligatures w14:val="standardContextual"/>
              </w:rPr>
              <w:tab/>
              <w:t>забезпечити безперебійне надання послуги Інтернет при тимчасовому припиненні електропостачання</w:t>
            </w:r>
          </w:p>
          <w:p w14:paraId="1860C048" w14:textId="77777777" w:rsidR="004A275D" w:rsidRPr="004A275D" w:rsidRDefault="004A275D" w:rsidP="004A275D">
            <w:pPr>
              <w:jc w:val="both"/>
              <w:rPr>
                <w:rFonts w:eastAsia="Aptos"/>
                <w:kern w:val="36"/>
                <w:sz w:val="28"/>
                <w:szCs w:val="28"/>
                <w:lang w:eastAsia="en-US"/>
                <w14:ligatures w14:val="standardContextual"/>
              </w:rPr>
            </w:pPr>
            <w:r w:rsidRPr="004A275D">
              <w:rPr>
                <w:rFonts w:eastAsia="Aptos"/>
                <w:kern w:val="36"/>
                <w:sz w:val="28"/>
                <w:szCs w:val="28"/>
                <w:lang w:eastAsia="en-US"/>
                <w14:ligatures w14:val="standardContextual"/>
              </w:rPr>
              <w:t>Робоча спроможність каналу: не нижче 99,95%</w:t>
            </w:r>
          </w:p>
          <w:p w14:paraId="52BD3BFC" w14:textId="77777777" w:rsidR="004A275D" w:rsidRPr="004A275D" w:rsidRDefault="004A275D" w:rsidP="004A275D">
            <w:pPr>
              <w:jc w:val="both"/>
              <w:rPr>
                <w:rFonts w:eastAsia="Aptos"/>
                <w:kern w:val="36"/>
                <w:sz w:val="28"/>
                <w:szCs w:val="28"/>
                <w:lang w:eastAsia="en-US"/>
                <w14:ligatures w14:val="standardContextual"/>
              </w:rPr>
            </w:pPr>
            <w:r w:rsidRPr="004A275D">
              <w:rPr>
                <w:rFonts w:eastAsia="Aptos"/>
                <w:kern w:val="36"/>
                <w:sz w:val="28"/>
                <w:szCs w:val="28"/>
                <w:lang w:eastAsia="en-US"/>
                <w14:ligatures w14:val="standardContextual"/>
              </w:rPr>
              <w:t xml:space="preserve">Система захисту: захист від </w:t>
            </w:r>
            <w:proofErr w:type="spellStart"/>
            <w:r w:rsidRPr="004A275D">
              <w:rPr>
                <w:rFonts w:eastAsia="Aptos"/>
                <w:kern w:val="36"/>
                <w:sz w:val="28"/>
                <w:szCs w:val="28"/>
                <w:lang w:eastAsia="en-US"/>
                <w14:ligatures w14:val="standardContextual"/>
              </w:rPr>
              <w:t>DDoS</w:t>
            </w:r>
            <w:proofErr w:type="spellEnd"/>
            <w:r w:rsidRPr="004A275D">
              <w:rPr>
                <w:rFonts w:eastAsia="Aptos"/>
                <w:kern w:val="36"/>
                <w:sz w:val="28"/>
                <w:szCs w:val="28"/>
                <w:lang w:eastAsia="en-US"/>
                <w14:ligatures w14:val="standardContextual"/>
              </w:rPr>
              <w:t xml:space="preserve"> атак, шифрування даних, антивірусний захист.</w:t>
            </w:r>
          </w:p>
          <w:p w14:paraId="40B3045E" w14:textId="77777777" w:rsidR="004A275D" w:rsidRPr="004A275D" w:rsidRDefault="004A275D" w:rsidP="004A275D">
            <w:pPr>
              <w:jc w:val="both"/>
              <w:rPr>
                <w:rFonts w:eastAsia="Aptos"/>
                <w:kern w:val="36"/>
                <w:sz w:val="28"/>
                <w:szCs w:val="28"/>
                <w:lang w:eastAsia="en-US"/>
                <w14:ligatures w14:val="standardContextual"/>
              </w:rPr>
            </w:pPr>
            <w:r w:rsidRPr="004A275D">
              <w:rPr>
                <w:rFonts w:eastAsia="Aptos"/>
                <w:kern w:val="36"/>
                <w:sz w:val="28"/>
                <w:szCs w:val="28"/>
                <w:lang w:eastAsia="en-US"/>
                <w14:ligatures w14:val="standardContextual"/>
              </w:rPr>
              <w:t>Об’єм передплаченого трафіку: необмежений</w:t>
            </w:r>
          </w:p>
          <w:p w14:paraId="2EBB717A" w14:textId="77777777" w:rsidR="004A275D" w:rsidRPr="004A275D" w:rsidRDefault="004A275D" w:rsidP="004A275D">
            <w:pPr>
              <w:jc w:val="both"/>
              <w:rPr>
                <w:rFonts w:eastAsia="Aptos"/>
                <w:kern w:val="36"/>
                <w:sz w:val="28"/>
                <w:szCs w:val="28"/>
                <w:lang w:eastAsia="en-US"/>
                <w14:ligatures w14:val="standardContextual"/>
              </w:rPr>
            </w:pPr>
            <w:r w:rsidRPr="004A275D">
              <w:rPr>
                <w:rFonts w:eastAsia="Aptos"/>
                <w:kern w:val="36"/>
                <w:sz w:val="28"/>
                <w:szCs w:val="28"/>
                <w:lang w:eastAsia="en-US"/>
                <w14:ligatures w14:val="standardContextual"/>
              </w:rPr>
              <w:lastRenderedPageBreak/>
              <w:t>Функціонування Послуг: 24 години на добу, 7 днів на тиждень протягом терміну дії надання Послуг</w:t>
            </w:r>
          </w:p>
          <w:p w14:paraId="48E81143" w14:textId="67FD1B4D" w:rsidR="008B16D5" w:rsidRPr="004A275D" w:rsidRDefault="004A275D" w:rsidP="004A275D">
            <w:pPr>
              <w:tabs>
                <w:tab w:val="left" w:pos="7088"/>
              </w:tabs>
              <w:jc w:val="both"/>
              <w:rPr>
                <w:color w:val="000000"/>
                <w:sz w:val="28"/>
                <w:szCs w:val="28"/>
              </w:rPr>
            </w:pPr>
            <w:r w:rsidRPr="004A275D">
              <w:rPr>
                <w:rFonts w:eastAsia="Aptos"/>
                <w:kern w:val="36"/>
                <w:sz w:val="28"/>
                <w:szCs w:val="28"/>
                <w:lang w:eastAsia="en-US"/>
                <w14:ligatures w14:val="standardContextual"/>
              </w:rPr>
              <w:t>Технічні умови включають обов’язкове надання послуг відповідно до Закону України «Про електронні комунікації», використання лише кабельних технологій, забезпечення цілодобового моніторингу, оперативного усунення аварійних ситуацій (до 24 годин), резервного живлення, а також здійснення підключення до 01.01.2026 року.</w:t>
            </w:r>
          </w:p>
        </w:tc>
      </w:tr>
      <w:tr w:rsidR="009C5CEE" w14:paraId="3665C80A" w14:textId="77777777" w:rsidTr="00FD0948">
        <w:tc>
          <w:tcPr>
            <w:tcW w:w="675" w:type="dxa"/>
          </w:tcPr>
          <w:p w14:paraId="1CF8A11D" w14:textId="77777777" w:rsidR="009C5CEE" w:rsidRPr="00FD0948" w:rsidRDefault="009C5CEE" w:rsidP="004A275D">
            <w:pPr>
              <w:tabs>
                <w:tab w:val="left" w:pos="7088"/>
              </w:tabs>
              <w:jc w:val="center"/>
              <w:rPr>
                <w:color w:val="000000"/>
                <w:sz w:val="24"/>
                <w:szCs w:val="24"/>
              </w:rPr>
            </w:pPr>
            <w:r w:rsidRPr="00FD0948">
              <w:rPr>
                <w:color w:val="000000"/>
                <w:sz w:val="24"/>
                <w:szCs w:val="24"/>
              </w:rPr>
              <w:lastRenderedPageBreak/>
              <w:t>5</w:t>
            </w:r>
          </w:p>
        </w:tc>
        <w:tc>
          <w:tcPr>
            <w:tcW w:w="6663" w:type="dxa"/>
          </w:tcPr>
          <w:p w14:paraId="09499D05" w14:textId="77777777" w:rsidR="009C5CEE" w:rsidRPr="00FD0948" w:rsidRDefault="009C5CEE" w:rsidP="004A275D">
            <w:pPr>
              <w:tabs>
                <w:tab w:val="left" w:pos="7088"/>
              </w:tabs>
              <w:rPr>
                <w:b/>
                <w:sz w:val="24"/>
                <w:szCs w:val="24"/>
              </w:rPr>
            </w:pPr>
            <w:r w:rsidRPr="00FD0948">
              <w:rPr>
                <w:b/>
                <w:sz w:val="24"/>
                <w:szCs w:val="24"/>
              </w:rPr>
              <w:t>Обґрунтування розміру бюджетного призначення:</w:t>
            </w:r>
          </w:p>
        </w:tc>
        <w:tc>
          <w:tcPr>
            <w:tcW w:w="8581" w:type="dxa"/>
          </w:tcPr>
          <w:p w14:paraId="666E1A8A" w14:textId="77777777" w:rsidR="004A275D" w:rsidRPr="004A275D" w:rsidRDefault="004A275D" w:rsidP="004A275D">
            <w:pPr>
              <w:tabs>
                <w:tab w:val="left" w:pos="7088"/>
              </w:tabs>
              <w:jc w:val="both"/>
              <w:rPr>
                <w:color w:val="000000"/>
                <w:sz w:val="28"/>
                <w:szCs w:val="28"/>
              </w:rPr>
            </w:pPr>
            <w:r w:rsidRPr="004A275D">
              <w:rPr>
                <w:color w:val="000000"/>
                <w:sz w:val="28"/>
                <w:szCs w:val="28"/>
              </w:rPr>
              <w:t>На момент формування документів для проведення закупівлі у грудні 2025 року кошторис установи на 2026 рік ще не затверджено. Визначення очікуваної вартості предмета закупівлі та розміру бюджетного призначення здійснюється відповідно до вимог Бюджетного кодексу України та постанови Кабінету Міністрів України від 12.10.2022 № 1178.</w:t>
            </w:r>
          </w:p>
          <w:p w14:paraId="28FD05D0" w14:textId="77777777" w:rsidR="004A275D" w:rsidRPr="004A275D" w:rsidRDefault="004A275D" w:rsidP="004A275D">
            <w:pPr>
              <w:tabs>
                <w:tab w:val="left" w:pos="7088"/>
              </w:tabs>
              <w:jc w:val="both"/>
              <w:rPr>
                <w:color w:val="000000"/>
                <w:sz w:val="28"/>
                <w:szCs w:val="28"/>
              </w:rPr>
            </w:pPr>
            <w:r w:rsidRPr="004A275D">
              <w:rPr>
                <w:color w:val="000000"/>
                <w:sz w:val="28"/>
                <w:szCs w:val="28"/>
              </w:rPr>
              <w:t>Розмір бюджетного призначення для здійснення закупівлі визначено з урахуванням:</w:t>
            </w:r>
          </w:p>
          <w:p w14:paraId="0DD4C2B3" w14:textId="77777777" w:rsidR="004A275D" w:rsidRPr="004A275D" w:rsidRDefault="004A275D" w:rsidP="004A275D">
            <w:pPr>
              <w:tabs>
                <w:tab w:val="left" w:pos="7088"/>
              </w:tabs>
              <w:jc w:val="both"/>
              <w:rPr>
                <w:color w:val="000000"/>
                <w:sz w:val="28"/>
                <w:szCs w:val="28"/>
              </w:rPr>
            </w:pPr>
            <w:r w:rsidRPr="004A275D">
              <w:rPr>
                <w:color w:val="000000"/>
                <w:sz w:val="28"/>
                <w:szCs w:val="28"/>
              </w:rPr>
              <w:t>фактичних обсягів фінансування аналогічних видатків у попередніх бюджетних періодах, зокрема у 2023–2025 роках, що дозволяє об’єктивно оцінити потребу в коштах на забезпечення безперервної діяльності установи;</w:t>
            </w:r>
          </w:p>
          <w:p w14:paraId="363E011A" w14:textId="77777777" w:rsidR="004A275D" w:rsidRPr="004A275D" w:rsidRDefault="004A275D" w:rsidP="004A275D">
            <w:pPr>
              <w:tabs>
                <w:tab w:val="left" w:pos="7088"/>
              </w:tabs>
              <w:jc w:val="both"/>
              <w:rPr>
                <w:color w:val="000000"/>
                <w:sz w:val="28"/>
                <w:szCs w:val="28"/>
              </w:rPr>
            </w:pPr>
            <w:r w:rsidRPr="004A275D">
              <w:rPr>
                <w:color w:val="000000"/>
                <w:sz w:val="28"/>
                <w:szCs w:val="28"/>
              </w:rPr>
              <w:t>наявної комерційної пропозиції, що підтверджує реальну очікувану вартість предмета закупівлі;</w:t>
            </w:r>
          </w:p>
          <w:p w14:paraId="03BD2581" w14:textId="77777777" w:rsidR="004A275D" w:rsidRPr="004A275D" w:rsidRDefault="004A275D" w:rsidP="004A275D">
            <w:pPr>
              <w:tabs>
                <w:tab w:val="left" w:pos="7088"/>
              </w:tabs>
              <w:jc w:val="both"/>
              <w:rPr>
                <w:color w:val="000000"/>
                <w:sz w:val="28"/>
                <w:szCs w:val="28"/>
              </w:rPr>
            </w:pPr>
            <w:r w:rsidRPr="004A275D">
              <w:rPr>
                <w:color w:val="000000"/>
                <w:sz w:val="28"/>
                <w:szCs w:val="28"/>
              </w:rPr>
              <w:t>необхідності забезпечення роботи підрозділів установи у 2026 році, оскільки відповідна послуга є безперервною та невід'ємною частиною функціонування установи.</w:t>
            </w:r>
          </w:p>
          <w:p w14:paraId="6819873B" w14:textId="0A547E4A" w:rsidR="009C5CEE" w:rsidRPr="004A275D" w:rsidRDefault="004A275D" w:rsidP="004A275D">
            <w:pPr>
              <w:tabs>
                <w:tab w:val="left" w:pos="7088"/>
              </w:tabs>
              <w:jc w:val="both"/>
              <w:rPr>
                <w:color w:val="000000"/>
                <w:sz w:val="28"/>
                <w:szCs w:val="28"/>
              </w:rPr>
            </w:pPr>
            <w:r w:rsidRPr="004A275D">
              <w:rPr>
                <w:color w:val="000000"/>
                <w:sz w:val="28"/>
                <w:szCs w:val="28"/>
              </w:rPr>
              <w:t xml:space="preserve">Виходячи з наведеного, попередній розмір бюджетного призначення на 2026 рік визначено на основі прогнозних бюджетних показників та потреби в забезпеченні діяльності установи. Остаточне </w:t>
            </w:r>
            <w:r w:rsidRPr="004A275D">
              <w:rPr>
                <w:color w:val="000000"/>
                <w:sz w:val="28"/>
                <w:szCs w:val="28"/>
              </w:rPr>
              <w:lastRenderedPageBreak/>
              <w:t>фінансування буде здійснюватися в межах затверджених у 2026 році бюджетних асигнувань відповідно до вимог Бюджетного кодексу України.</w:t>
            </w:r>
          </w:p>
        </w:tc>
      </w:tr>
      <w:tr w:rsidR="009C5CEE" w14:paraId="448D0285" w14:textId="77777777" w:rsidTr="00FD0948">
        <w:tc>
          <w:tcPr>
            <w:tcW w:w="675" w:type="dxa"/>
          </w:tcPr>
          <w:p w14:paraId="79B7E6CB" w14:textId="77777777" w:rsidR="009C5CEE" w:rsidRPr="00FD0948" w:rsidRDefault="00FD0948" w:rsidP="004A275D">
            <w:pPr>
              <w:tabs>
                <w:tab w:val="left" w:pos="7088"/>
              </w:tabs>
              <w:jc w:val="center"/>
              <w:rPr>
                <w:color w:val="000000"/>
                <w:sz w:val="24"/>
                <w:szCs w:val="24"/>
              </w:rPr>
            </w:pPr>
            <w:r w:rsidRPr="00FD0948">
              <w:rPr>
                <w:color w:val="000000"/>
                <w:sz w:val="24"/>
                <w:szCs w:val="24"/>
              </w:rPr>
              <w:lastRenderedPageBreak/>
              <w:t>6</w:t>
            </w:r>
          </w:p>
        </w:tc>
        <w:tc>
          <w:tcPr>
            <w:tcW w:w="6663" w:type="dxa"/>
          </w:tcPr>
          <w:p w14:paraId="1F1DFEAC" w14:textId="77777777" w:rsidR="009C5CEE" w:rsidRPr="00FD0948" w:rsidRDefault="00FD0948" w:rsidP="004A275D">
            <w:pPr>
              <w:tabs>
                <w:tab w:val="left" w:pos="7088"/>
              </w:tabs>
              <w:rPr>
                <w:b/>
                <w:sz w:val="24"/>
                <w:szCs w:val="24"/>
              </w:rPr>
            </w:pPr>
            <w:r w:rsidRPr="00FD0948">
              <w:rPr>
                <w:b/>
                <w:sz w:val="24"/>
                <w:szCs w:val="24"/>
              </w:rPr>
              <w:t>Очікувана вартість предмета закупівлі:</w:t>
            </w:r>
          </w:p>
        </w:tc>
        <w:tc>
          <w:tcPr>
            <w:tcW w:w="8581" w:type="dxa"/>
          </w:tcPr>
          <w:p w14:paraId="5CBFC8F3" w14:textId="1C3A0BD6" w:rsidR="009C5CEE" w:rsidRPr="004A275D" w:rsidRDefault="004A275D" w:rsidP="004A275D">
            <w:pPr>
              <w:tabs>
                <w:tab w:val="left" w:pos="7088"/>
              </w:tabs>
              <w:jc w:val="both"/>
              <w:rPr>
                <w:color w:val="000000"/>
                <w:sz w:val="28"/>
                <w:szCs w:val="28"/>
              </w:rPr>
            </w:pPr>
            <w:r w:rsidRPr="004A275D">
              <w:rPr>
                <w:color w:val="000000"/>
                <w:sz w:val="28"/>
                <w:szCs w:val="28"/>
              </w:rPr>
              <w:t>71200</w:t>
            </w:r>
            <w:r w:rsidR="008B16D5" w:rsidRPr="004A275D">
              <w:rPr>
                <w:color w:val="000000"/>
                <w:sz w:val="28"/>
                <w:szCs w:val="28"/>
              </w:rPr>
              <w:t>,</w:t>
            </w:r>
            <w:r w:rsidR="008B16D5" w:rsidRPr="004A275D">
              <w:rPr>
                <w:color w:val="000000"/>
                <w:sz w:val="28"/>
                <w:szCs w:val="28"/>
                <w:lang w:val="en-US"/>
              </w:rPr>
              <w:t>00</w:t>
            </w:r>
            <w:r w:rsidR="00900F3C" w:rsidRPr="004A275D">
              <w:rPr>
                <w:color w:val="000000"/>
                <w:sz w:val="28"/>
                <w:szCs w:val="28"/>
              </w:rPr>
              <w:t xml:space="preserve"> </w:t>
            </w:r>
            <w:r w:rsidR="006C2C4F" w:rsidRPr="004A275D">
              <w:rPr>
                <w:color w:val="000000"/>
                <w:sz w:val="28"/>
                <w:szCs w:val="28"/>
              </w:rPr>
              <w:t>грн</w:t>
            </w:r>
            <w:r w:rsidR="008F1694" w:rsidRPr="004A275D">
              <w:rPr>
                <w:color w:val="000000"/>
                <w:sz w:val="28"/>
                <w:szCs w:val="28"/>
              </w:rPr>
              <w:t xml:space="preserve"> </w:t>
            </w:r>
            <w:r w:rsidR="00372B9D" w:rsidRPr="004A275D">
              <w:rPr>
                <w:color w:val="000000"/>
                <w:sz w:val="28"/>
                <w:szCs w:val="28"/>
              </w:rPr>
              <w:t>з</w:t>
            </w:r>
            <w:r w:rsidR="008F1694" w:rsidRPr="004A275D">
              <w:rPr>
                <w:color w:val="000000"/>
                <w:sz w:val="28"/>
                <w:szCs w:val="28"/>
              </w:rPr>
              <w:t xml:space="preserve"> ПДВ</w:t>
            </w:r>
            <w:r w:rsidR="006F071B" w:rsidRPr="004A275D">
              <w:rPr>
                <w:color w:val="000000"/>
                <w:sz w:val="28"/>
                <w:szCs w:val="28"/>
              </w:rPr>
              <w:t>.</w:t>
            </w:r>
            <w:r w:rsidR="008F1694" w:rsidRPr="004A275D">
              <w:rPr>
                <w:color w:val="000000"/>
                <w:sz w:val="28"/>
                <w:szCs w:val="28"/>
              </w:rPr>
              <w:t xml:space="preserve"> </w:t>
            </w:r>
          </w:p>
        </w:tc>
      </w:tr>
      <w:tr w:rsidR="00FD0948" w14:paraId="6AFCB084" w14:textId="77777777" w:rsidTr="00FD0948">
        <w:tc>
          <w:tcPr>
            <w:tcW w:w="675" w:type="dxa"/>
          </w:tcPr>
          <w:p w14:paraId="70A685E6" w14:textId="77777777" w:rsidR="00FD0948" w:rsidRPr="00FD0948" w:rsidRDefault="00FD0948" w:rsidP="004A275D">
            <w:pPr>
              <w:tabs>
                <w:tab w:val="left" w:pos="7088"/>
              </w:tabs>
              <w:jc w:val="center"/>
              <w:rPr>
                <w:color w:val="000000"/>
                <w:sz w:val="24"/>
                <w:szCs w:val="24"/>
              </w:rPr>
            </w:pPr>
            <w:r w:rsidRPr="00FD0948">
              <w:rPr>
                <w:color w:val="000000"/>
                <w:sz w:val="24"/>
                <w:szCs w:val="24"/>
              </w:rPr>
              <w:t>7</w:t>
            </w:r>
          </w:p>
        </w:tc>
        <w:tc>
          <w:tcPr>
            <w:tcW w:w="6663" w:type="dxa"/>
          </w:tcPr>
          <w:p w14:paraId="3F6BC3BD" w14:textId="77777777" w:rsidR="00FD0948" w:rsidRPr="00FD0948" w:rsidRDefault="00FD0948" w:rsidP="004A275D">
            <w:pPr>
              <w:tabs>
                <w:tab w:val="left" w:pos="7088"/>
              </w:tabs>
              <w:rPr>
                <w:b/>
                <w:sz w:val="24"/>
                <w:szCs w:val="24"/>
              </w:rPr>
            </w:pPr>
            <w:r w:rsidRPr="00FD0948">
              <w:rPr>
                <w:b/>
                <w:sz w:val="24"/>
                <w:szCs w:val="24"/>
              </w:rPr>
              <w:t>Обґрунтування очікуваної вартості предмета закупівлі:</w:t>
            </w:r>
          </w:p>
        </w:tc>
        <w:tc>
          <w:tcPr>
            <w:tcW w:w="8581" w:type="dxa"/>
          </w:tcPr>
          <w:p w14:paraId="3B79BA40" w14:textId="54C53ABC" w:rsidR="002D37F8" w:rsidRPr="004A275D" w:rsidRDefault="002D37F8" w:rsidP="004A275D">
            <w:pPr>
              <w:tabs>
                <w:tab w:val="left" w:pos="7088"/>
              </w:tabs>
              <w:jc w:val="both"/>
              <w:rPr>
                <w:color w:val="000000"/>
                <w:sz w:val="28"/>
                <w:szCs w:val="28"/>
              </w:rPr>
            </w:pPr>
            <w:r w:rsidRPr="004A275D">
              <w:rPr>
                <w:color w:val="000000"/>
                <w:sz w:val="28"/>
                <w:szCs w:val="28"/>
              </w:rPr>
              <w:t xml:space="preserve">Очікувана вартість предмету закупівлі визначена на підставі моніторингу цін, шляхом пошуку, збору та аналізу загальнодоступної інформації про ціни виконавців, що містяться у відкритому доступі, з урахуванням наданих послуг в попередніх роках. </w:t>
            </w:r>
          </w:p>
          <w:p w14:paraId="02010337" w14:textId="77777777" w:rsidR="00FD0948" w:rsidRPr="004A275D" w:rsidRDefault="002D37F8" w:rsidP="004A275D">
            <w:pPr>
              <w:tabs>
                <w:tab w:val="left" w:pos="7088"/>
              </w:tabs>
              <w:jc w:val="both"/>
              <w:rPr>
                <w:color w:val="000000"/>
                <w:sz w:val="28"/>
                <w:szCs w:val="28"/>
              </w:rPr>
            </w:pPr>
            <w:r w:rsidRPr="004A275D">
              <w:rPr>
                <w:color w:val="000000"/>
                <w:sz w:val="28"/>
                <w:szCs w:val="28"/>
              </w:rPr>
              <w:t>Р</w:t>
            </w:r>
            <w:r w:rsidR="006C2C4F" w:rsidRPr="004A275D">
              <w:rPr>
                <w:color w:val="000000"/>
                <w:sz w:val="28"/>
                <w:szCs w:val="28"/>
              </w:rPr>
              <w:t>озрахунок очікуваної вартості предмета закупівлі проведено відповідно рекомендаціям Наказу Мінекономіки від</w:t>
            </w:r>
            <w:r w:rsidR="00E83929" w:rsidRPr="004A275D">
              <w:rPr>
                <w:color w:val="000000"/>
                <w:sz w:val="28"/>
                <w:szCs w:val="28"/>
              </w:rPr>
              <w:t xml:space="preserve"> </w:t>
            </w:r>
            <w:r w:rsidR="006C2C4F" w:rsidRPr="004A275D">
              <w:rPr>
                <w:color w:val="000000"/>
                <w:sz w:val="28"/>
                <w:szCs w:val="28"/>
              </w:rPr>
              <w:t>18.02.2020р. № 275 «Про затвердження примірної методики визначення очікуваної вартості предмета закупівлі»</w:t>
            </w:r>
            <w:r w:rsidRPr="004A275D">
              <w:rPr>
                <w:color w:val="000000"/>
                <w:sz w:val="28"/>
                <w:szCs w:val="28"/>
              </w:rPr>
              <w:t>.</w:t>
            </w:r>
          </w:p>
          <w:p w14:paraId="5145C6EB" w14:textId="77777777" w:rsidR="004A275D" w:rsidRPr="004A275D" w:rsidRDefault="004A275D" w:rsidP="004A275D">
            <w:pPr>
              <w:tabs>
                <w:tab w:val="left" w:pos="7088"/>
              </w:tabs>
              <w:jc w:val="both"/>
              <w:rPr>
                <w:color w:val="000000"/>
                <w:sz w:val="28"/>
                <w:szCs w:val="28"/>
              </w:rPr>
            </w:pPr>
            <w:r w:rsidRPr="004A275D">
              <w:rPr>
                <w:color w:val="000000"/>
                <w:sz w:val="28"/>
                <w:szCs w:val="28"/>
              </w:rPr>
              <w:t>Збір інформації здійснювався шляхом отримання комерційних пропозицій від потенційних постачальників інтернет послуг.</w:t>
            </w:r>
          </w:p>
          <w:p w14:paraId="7CECF40B" w14:textId="77777777" w:rsidR="004A275D" w:rsidRPr="004A275D" w:rsidRDefault="004A275D" w:rsidP="004A275D">
            <w:pPr>
              <w:tabs>
                <w:tab w:val="left" w:pos="7088"/>
              </w:tabs>
              <w:jc w:val="both"/>
              <w:rPr>
                <w:color w:val="000000"/>
                <w:sz w:val="28"/>
                <w:szCs w:val="28"/>
              </w:rPr>
            </w:pPr>
            <w:r w:rsidRPr="004A275D">
              <w:rPr>
                <w:color w:val="000000"/>
                <w:sz w:val="28"/>
                <w:szCs w:val="28"/>
              </w:rPr>
              <w:t xml:space="preserve">1. ЦГО (м. Київ, пр. Науки, 39, </w:t>
            </w:r>
            <w:proofErr w:type="spellStart"/>
            <w:r w:rsidRPr="004A275D">
              <w:rPr>
                <w:color w:val="000000"/>
                <w:sz w:val="28"/>
                <w:szCs w:val="28"/>
              </w:rPr>
              <w:t>корп</w:t>
            </w:r>
            <w:proofErr w:type="spellEnd"/>
            <w:r w:rsidRPr="004A275D">
              <w:rPr>
                <w:color w:val="000000"/>
                <w:sz w:val="28"/>
                <w:szCs w:val="28"/>
              </w:rPr>
              <w:t>. 2)</w:t>
            </w:r>
          </w:p>
          <w:p w14:paraId="295B3F8F" w14:textId="77777777" w:rsidR="004A275D" w:rsidRPr="004A275D" w:rsidRDefault="004A275D" w:rsidP="004A275D">
            <w:pPr>
              <w:tabs>
                <w:tab w:val="left" w:pos="7088"/>
              </w:tabs>
              <w:jc w:val="both"/>
              <w:rPr>
                <w:color w:val="000000"/>
                <w:sz w:val="28"/>
                <w:szCs w:val="28"/>
              </w:rPr>
            </w:pPr>
            <w:r w:rsidRPr="004A275D">
              <w:rPr>
                <w:color w:val="000000"/>
                <w:sz w:val="28"/>
                <w:szCs w:val="28"/>
              </w:rPr>
              <w:t>Отримані комерційні пропозиції від постачальників:</w:t>
            </w:r>
          </w:p>
          <w:p w14:paraId="2CA22AA4" w14:textId="5C243DE9" w:rsidR="004A275D" w:rsidRPr="004A275D" w:rsidRDefault="004A275D" w:rsidP="004A275D">
            <w:pPr>
              <w:tabs>
                <w:tab w:val="left" w:pos="7088"/>
              </w:tabs>
              <w:jc w:val="both"/>
              <w:rPr>
                <w:color w:val="000000"/>
                <w:sz w:val="28"/>
                <w:szCs w:val="28"/>
              </w:rPr>
            </w:pPr>
            <w:r w:rsidRPr="004A275D">
              <w:rPr>
                <w:color w:val="000000"/>
                <w:sz w:val="28"/>
                <w:szCs w:val="28"/>
              </w:rPr>
              <w:t>•ТОВ НВФ «ВОЛЗ» – 3 500 грн/міс.;</w:t>
            </w:r>
          </w:p>
          <w:p w14:paraId="644A9950" w14:textId="7567FA38" w:rsidR="004A275D" w:rsidRPr="004A275D" w:rsidRDefault="004A275D" w:rsidP="004A275D">
            <w:pPr>
              <w:tabs>
                <w:tab w:val="left" w:pos="7088"/>
              </w:tabs>
              <w:jc w:val="both"/>
              <w:rPr>
                <w:color w:val="000000"/>
                <w:sz w:val="28"/>
                <w:szCs w:val="28"/>
              </w:rPr>
            </w:pPr>
            <w:r w:rsidRPr="004A275D">
              <w:rPr>
                <w:color w:val="000000"/>
                <w:sz w:val="28"/>
                <w:szCs w:val="28"/>
              </w:rPr>
              <w:t>•ТОВ «МЕРЕЖА ЛАНЕТ» – 5 000 грн/міс.;</w:t>
            </w:r>
          </w:p>
          <w:p w14:paraId="1CE873B2" w14:textId="30F729BC" w:rsidR="004A275D" w:rsidRPr="004A275D" w:rsidRDefault="004A275D" w:rsidP="004A275D">
            <w:pPr>
              <w:tabs>
                <w:tab w:val="left" w:pos="7088"/>
              </w:tabs>
              <w:jc w:val="both"/>
              <w:rPr>
                <w:color w:val="000000"/>
                <w:sz w:val="28"/>
                <w:szCs w:val="28"/>
              </w:rPr>
            </w:pPr>
            <w:r w:rsidRPr="004A275D">
              <w:rPr>
                <w:color w:val="000000"/>
                <w:sz w:val="28"/>
                <w:szCs w:val="28"/>
              </w:rPr>
              <w:t>•ТОВ «</w:t>
            </w:r>
            <w:proofErr w:type="spellStart"/>
            <w:r w:rsidRPr="004A275D">
              <w:rPr>
                <w:color w:val="000000"/>
                <w:sz w:val="28"/>
                <w:szCs w:val="28"/>
              </w:rPr>
              <w:t>Індастріал</w:t>
            </w:r>
            <w:proofErr w:type="spellEnd"/>
            <w:r w:rsidRPr="004A275D">
              <w:rPr>
                <w:color w:val="000000"/>
                <w:sz w:val="28"/>
                <w:szCs w:val="28"/>
              </w:rPr>
              <w:t xml:space="preserve"> Медіа </w:t>
            </w:r>
            <w:proofErr w:type="spellStart"/>
            <w:r w:rsidRPr="004A275D">
              <w:rPr>
                <w:color w:val="000000"/>
                <w:sz w:val="28"/>
                <w:szCs w:val="28"/>
              </w:rPr>
              <w:t>Нетворк</w:t>
            </w:r>
            <w:proofErr w:type="spellEnd"/>
            <w:r w:rsidRPr="004A275D">
              <w:rPr>
                <w:color w:val="000000"/>
                <w:sz w:val="28"/>
                <w:szCs w:val="28"/>
              </w:rPr>
              <w:t>» (ТМ IPNET) – 3 300 грн/міс.</w:t>
            </w:r>
          </w:p>
          <w:p w14:paraId="1CAB4124" w14:textId="77777777" w:rsidR="004A275D" w:rsidRPr="004A275D" w:rsidRDefault="004A275D" w:rsidP="004A275D">
            <w:pPr>
              <w:tabs>
                <w:tab w:val="left" w:pos="7088"/>
              </w:tabs>
              <w:jc w:val="both"/>
              <w:rPr>
                <w:color w:val="000000"/>
                <w:sz w:val="28"/>
                <w:szCs w:val="28"/>
              </w:rPr>
            </w:pPr>
            <w:proofErr w:type="spellStart"/>
            <w:r w:rsidRPr="004A275D">
              <w:rPr>
                <w:color w:val="000000"/>
                <w:sz w:val="28"/>
                <w:szCs w:val="28"/>
              </w:rPr>
              <w:t>Середньоринкова</w:t>
            </w:r>
            <w:proofErr w:type="spellEnd"/>
            <w:r w:rsidRPr="004A275D">
              <w:rPr>
                <w:color w:val="000000"/>
                <w:sz w:val="28"/>
                <w:szCs w:val="28"/>
              </w:rPr>
              <w:t xml:space="preserve"> ціна, розрахована на підставі отриманих пропозицій, становить 3 933 грн/міс., що у річному вимірі складає 47 200 грн/рік.</w:t>
            </w:r>
          </w:p>
          <w:p w14:paraId="70EED4DF" w14:textId="77777777" w:rsidR="004A275D" w:rsidRPr="004A275D" w:rsidRDefault="004A275D" w:rsidP="004A275D">
            <w:pPr>
              <w:tabs>
                <w:tab w:val="left" w:pos="7088"/>
              </w:tabs>
              <w:jc w:val="both"/>
              <w:rPr>
                <w:color w:val="000000"/>
                <w:sz w:val="28"/>
                <w:szCs w:val="28"/>
              </w:rPr>
            </w:pPr>
            <w:r w:rsidRPr="004A275D">
              <w:rPr>
                <w:color w:val="000000"/>
                <w:sz w:val="28"/>
                <w:szCs w:val="28"/>
              </w:rPr>
              <w:t>2. Об’єднана гідрометеорологічна станція Київ (м. Київ, пр. Науки, 37)</w:t>
            </w:r>
          </w:p>
          <w:p w14:paraId="15696434" w14:textId="77777777" w:rsidR="004A275D" w:rsidRPr="004A275D" w:rsidRDefault="004A275D" w:rsidP="004A275D">
            <w:pPr>
              <w:tabs>
                <w:tab w:val="left" w:pos="7088"/>
              </w:tabs>
              <w:jc w:val="both"/>
              <w:rPr>
                <w:color w:val="000000"/>
                <w:sz w:val="28"/>
                <w:szCs w:val="28"/>
              </w:rPr>
            </w:pPr>
            <w:r w:rsidRPr="004A275D">
              <w:rPr>
                <w:color w:val="000000"/>
                <w:sz w:val="28"/>
                <w:szCs w:val="28"/>
              </w:rPr>
              <w:t>Отримані комерційні пропозиції:</w:t>
            </w:r>
          </w:p>
          <w:p w14:paraId="0735D5AB" w14:textId="1508E0A6" w:rsidR="004A275D" w:rsidRPr="004A275D" w:rsidRDefault="004A275D" w:rsidP="004A275D">
            <w:pPr>
              <w:tabs>
                <w:tab w:val="left" w:pos="7088"/>
              </w:tabs>
              <w:jc w:val="both"/>
              <w:rPr>
                <w:color w:val="000000"/>
                <w:sz w:val="28"/>
                <w:szCs w:val="28"/>
              </w:rPr>
            </w:pPr>
            <w:r w:rsidRPr="004A275D">
              <w:rPr>
                <w:color w:val="000000"/>
                <w:sz w:val="28"/>
                <w:szCs w:val="28"/>
              </w:rPr>
              <w:t>•ТОВ НВФ «ВОЛЗ» – 1 500 грн/міс.;</w:t>
            </w:r>
          </w:p>
          <w:p w14:paraId="3752AC21" w14:textId="109F017F" w:rsidR="004A275D" w:rsidRPr="004A275D" w:rsidRDefault="004A275D" w:rsidP="004A275D">
            <w:pPr>
              <w:tabs>
                <w:tab w:val="left" w:pos="7088"/>
              </w:tabs>
              <w:jc w:val="both"/>
              <w:rPr>
                <w:color w:val="000000"/>
                <w:sz w:val="28"/>
                <w:szCs w:val="28"/>
              </w:rPr>
            </w:pPr>
            <w:r w:rsidRPr="004A275D">
              <w:rPr>
                <w:color w:val="000000"/>
                <w:sz w:val="28"/>
                <w:szCs w:val="28"/>
              </w:rPr>
              <w:t>•ТОВ «МЕРЕЖА ЛАНЕТ» – 2 000 грн/міс.;</w:t>
            </w:r>
          </w:p>
          <w:p w14:paraId="79A251DD" w14:textId="3F0919A9" w:rsidR="004A275D" w:rsidRPr="004A275D" w:rsidRDefault="004A275D" w:rsidP="004A275D">
            <w:pPr>
              <w:tabs>
                <w:tab w:val="left" w:pos="7088"/>
              </w:tabs>
              <w:jc w:val="both"/>
              <w:rPr>
                <w:color w:val="000000"/>
                <w:sz w:val="28"/>
                <w:szCs w:val="28"/>
              </w:rPr>
            </w:pPr>
            <w:r w:rsidRPr="004A275D">
              <w:rPr>
                <w:color w:val="000000"/>
                <w:sz w:val="28"/>
                <w:szCs w:val="28"/>
              </w:rPr>
              <w:lastRenderedPageBreak/>
              <w:t>•ТОВ «</w:t>
            </w:r>
            <w:proofErr w:type="spellStart"/>
            <w:r w:rsidRPr="004A275D">
              <w:rPr>
                <w:color w:val="000000"/>
                <w:sz w:val="28"/>
                <w:szCs w:val="28"/>
              </w:rPr>
              <w:t>Індастріал</w:t>
            </w:r>
            <w:proofErr w:type="spellEnd"/>
            <w:r w:rsidRPr="004A275D">
              <w:rPr>
                <w:color w:val="000000"/>
                <w:sz w:val="28"/>
                <w:szCs w:val="28"/>
              </w:rPr>
              <w:t xml:space="preserve"> Медіа </w:t>
            </w:r>
            <w:proofErr w:type="spellStart"/>
            <w:r w:rsidRPr="004A275D">
              <w:rPr>
                <w:color w:val="000000"/>
                <w:sz w:val="28"/>
                <w:szCs w:val="28"/>
              </w:rPr>
              <w:t>Нетворк</w:t>
            </w:r>
            <w:proofErr w:type="spellEnd"/>
            <w:r w:rsidRPr="004A275D">
              <w:rPr>
                <w:color w:val="000000"/>
                <w:sz w:val="28"/>
                <w:szCs w:val="28"/>
              </w:rPr>
              <w:t>» (ТМ IPNET) – 2 500 грн/міс.</w:t>
            </w:r>
          </w:p>
          <w:p w14:paraId="632B905B" w14:textId="77777777" w:rsidR="004A275D" w:rsidRPr="004A275D" w:rsidRDefault="004A275D" w:rsidP="004A275D">
            <w:pPr>
              <w:tabs>
                <w:tab w:val="left" w:pos="7088"/>
              </w:tabs>
              <w:jc w:val="both"/>
              <w:rPr>
                <w:color w:val="000000"/>
                <w:sz w:val="28"/>
                <w:szCs w:val="28"/>
              </w:rPr>
            </w:pPr>
            <w:r w:rsidRPr="004A275D">
              <w:rPr>
                <w:color w:val="000000"/>
                <w:sz w:val="28"/>
                <w:szCs w:val="28"/>
              </w:rPr>
              <w:t>Середньомісячна вартість становить 2 000 грн/міс., що складає 24 000 грн/рік.</w:t>
            </w:r>
          </w:p>
          <w:p w14:paraId="2440F4D1" w14:textId="194DE3AE" w:rsidR="004A275D" w:rsidRPr="004A275D" w:rsidRDefault="004A275D" w:rsidP="004A275D">
            <w:pPr>
              <w:tabs>
                <w:tab w:val="left" w:pos="7088"/>
              </w:tabs>
              <w:jc w:val="both"/>
              <w:rPr>
                <w:color w:val="000000"/>
                <w:sz w:val="28"/>
                <w:szCs w:val="28"/>
              </w:rPr>
            </w:pPr>
            <w:r w:rsidRPr="004A275D">
              <w:rPr>
                <w:color w:val="000000"/>
                <w:sz w:val="28"/>
                <w:szCs w:val="28"/>
              </w:rPr>
              <w:t>Загальна очікувана вартість закупівлі послуг доступу до мережі Інтернет на 2026 рік становить: 47 200 грн/рік + 24 000 грн/рік = 71 200 грн/рік.</w:t>
            </w:r>
          </w:p>
        </w:tc>
      </w:tr>
      <w:tr w:rsidR="00786206" w14:paraId="0D1C429B" w14:textId="77777777" w:rsidTr="00FD0948">
        <w:tc>
          <w:tcPr>
            <w:tcW w:w="675" w:type="dxa"/>
          </w:tcPr>
          <w:p w14:paraId="7B0CB9CD" w14:textId="77777777" w:rsidR="00786206" w:rsidRPr="00FD0948" w:rsidRDefault="00786206" w:rsidP="00490462">
            <w:pPr>
              <w:tabs>
                <w:tab w:val="left" w:pos="7088"/>
              </w:tabs>
              <w:jc w:val="center"/>
              <w:rPr>
                <w:color w:val="000000"/>
                <w:sz w:val="24"/>
                <w:szCs w:val="24"/>
              </w:rPr>
            </w:pPr>
          </w:p>
        </w:tc>
        <w:tc>
          <w:tcPr>
            <w:tcW w:w="6663" w:type="dxa"/>
          </w:tcPr>
          <w:p w14:paraId="3240E56F" w14:textId="77777777" w:rsidR="00786206" w:rsidRPr="00FD0948" w:rsidRDefault="00786206" w:rsidP="00FD0948">
            <w:pPr>
              <w:tabs>
                <w:tab w:val="left" w:pos="7088"/>
              </w:tabs>
              <w:rPr>
                <w:b/>
                <w:sz w:val="24"/>
                <w:szCs w:val="24"/>
              </w:rPr>
            </w:pPr>
            <w:r w:rsidRPr="00786206">
              <w:rPr>
                <w:b/>
                <w:sz w:val="24"/>
                <w:szCs w:val="24"/>
              </w:rPr>
              <w:t>Кількість закупівлі:</w:t>
            </w:r>
          </w:p>
        </w:tc>
        <w:tc>
          <w:tcPr>
            <w:tcW w:w="8581" w:type="dxa"/>
          </w:tcPr>
          <w:p w14:paraId="7EAEA5D1" w14:textId="161AA66F" w:rsidR="00786206" w:rsidRPr="006C2C4F" w:rsidRDefault="002D37F8" w:rsidP="001E67B5">
            <w:pPr>
              <w:tabs>
                <w:tab w:val="left" w:pos="7088"/>
              </w:tabs>
              <w:jc w:val="both"/>
              <w:rPr>
                <w:color w:val="000000"/>
                <w:sz w:val="28"/>
                <w:szCs w:val="16"/>
              </w:rPr>
            </w:pPr>
            <w:r>
              <w:rPr>
                <w:color w:val="000000"/>
                <w:sz w:val="28"/>
                <w:szCs w:val="16"/>
              </w:rPr>
              <w:t>24</w:t>
            </w:r>
            <w:r w:rsidR="008B16D5">
              <w:rPr>
                <w:color w:val="000000"/>
                <w:sz w:val="28"/>
                <w:szCs w:val="16"/>
              </w:rPr>
              <w:t xml:space="preserve"> послуг</w:t>
            </w:r>
            <w:r>
              <w:rPr>
                <w:color w:val="000000"/>
                <w:sz w:val="28"/>
                <w:szCs w:val="16"/>
              </w:rPr>
              <w:t>и</w:t>
            </w:r>
          </w:p>
        </w:tc>
      </w:tr>
      <w:tr w:rsidR="009C5CEE" w14:paraId="48748236" w14:textId="77777777" w:rsidTr="00FD0948">
        <w:tc>
          <w:tcPr>
            <w:tcW w:w="675" w:type="dxa"/>
          </w:tcPr>
          <w:p w14:paraId="1033FB92" w14:textId="77777777" w:rsidR="009C5CEE" w:rsidRPr="00FD0948" w:rsidRDefault="00FD0948" w:rsidP="00490462">
            <w:pPr>
              <w:tabs>
                <w:tab w:val="left" w:pos="7088"/>
              </w:tabs>
              <w:jc w:val="center"/>
              <w:rPr>
                <w:color w:val="000000"/>
                <w:sz w:val="24"/>
                <w:szCs w:val="24"/>
              </w:rPr>
            </w:pPr>
            <w:r w:rsidRPr="00FD0948">
              <w:rPr>
                <w:color w:val="000000"/>
                <w:sz w:val="24"/>
                <w:szCs w:val="24"/>
              </w:rPr>
              <w:t>8</w:t>
            </w:r>
          </w:p>
        </w:tc>
        <w:tc>
          <w:tcPr>
            <w:tcW w:w="6663" w:type="dxa"/>
          </w:tcPr>
          <w:p w14:paraId="3546B98D" w14:textId="77777777" w:rsidR="009C5CEE" w:rsidRPr="00FD0948" w:rsidRDefault="00FD0948" w:rsidP="00FD0948">
            <w:pPr>
              <w:tabs>
                <w:tab w:val="left" w:pos="7088"/>
              </w:tabs>
              <w:rPr>
                <w:b/>
                <w:sz w:val="24"/>
                <w:szCs w:val="24"/>
              </w:rPr>
            </w:pPr>
            <w:r w:rsidRPr="00FD0948">
              <w:rPr>
                <w:b/>
                <w:sz w:val="24"/>
                <w:szCs w:val="24"/>
              </w:rPr>
              <w:t>Процедура закупівлі:</w:t>
            </w:r>
          </w:p>
          <w:p w14:paraId="754921D3" w14:textId="77777777" w:rsidR="00FD0948" w:rsidRPr="00FD0948" w:rsidRDefault="00FD0948" w:rsidP="00FD0948">
            <w:pPr>
              <w:tabs>
                <w:tab w:val="left" w:pos="7088"/>
              </w:tabs>
              <w:rPr>
                <w:b/>
                <w:sz w:val="24"/>
                <w:szCs w:val="24"/>
              </w:rPr>
            </w:pPr>
            <w:r w:rsidRPr="00FD0948">
              <w:rPr>
                <w:sz w:val="24"/>
                <w:szCs w:val="24"/>
              </w:rPr>
              <w:t>Посилання на експертні, нормативні, технічні та інші документи, що</w:t>
            </w:r>
            <w:r>
              <w:rPr>
                <w:sz w:val="24"/>
                <w:szCs w:val="24"/>
              </w:rPr>
              <w:t xml:space="preserve"> </w:t>
            </w:r>
            <w:r w:rsidRPr="00FD0948">
              <w:rPr>
                <w:sz w:val="24"/>
                <w:szCs w:val="24"/>
              </w:rPr>
              <w:t>підтверджують наявність умов застосування процедури закупівлі:</w:t>
            </w:r>
          </w:p>
        </w:tc>
        <w:tc>
          <w:tcPr>
            <w:tcW w:w="8581" w:type="dxa"/>
          </w:tcPr>
          <w:p w14:paraId="11A3800F" w14:textId="5D306C53" w:rsidR="009C5CEE" w:rsidRPr="003B370D" w:rsidRDefault="008B16D5" w:rsidP="002B2A2F">
            <w:pPr>
              <w:tabs>
                <w:tab w:val="left" w:pos="7088"/>
              </w:tabs>
              <w:jc w:val="both"/>
              <w:rPr>
                <w:color w:val="000000"/>
                <w:sz w:val="28"/>
                <w:szCs w:val="28"/>
              </w:rPr>
            </w:pPr>
            <w:r w:rsidRPr="008B16D5">
              <w:rPr>
                <w:color w:val="000000"/>
                <w:sz w:val="28"/>
                <w:szCs w:val="28"/>
              </w:rPr>
              <w:t>нормами чинного законодавства України, Закону України «Про публічні закупівлі» (далі – Закон) та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w:t>
            </w:r>
          </w:p>
        </w:tc>
      </w:tr>
      <w:tr w:rsidR="008B16D5" w14:paraId="33B4E99E" w14:textId="77777777" w:rsidTr="00FD0948">
        <w:tc>
          <w:tcPr>
            <w:tcW w:w="675" w:type="dxa"/>
          </w:tcPr>
          <w:p w14:paraId="0FB888CA" w14:textId="3E7333CE" w:rsidR="008B16D5" w:rsidRPr="00FD0948" w:rsidRDefault="008B16D5" w:rsidP="00490462">
            <w:pPr>
              <w:tabs>
                <w:tab w:val="left" w:pos="7088"/>
              </w:tabs>
              <w:jc w:val="center"/>
              <w:rPr>
                <w:color w:val="000000"/>
                <w:sz w:val="24"/>
                <w:szCs w:val="24"/>
              </w:rPr>
            </w:pPr>
            <w:r>
              <w:rPr>
                <w:color w:val="000000"/>
                <w:sz w:val="24"/>
                <w:szCs w:val="24"/>
              </w:rPr>
              <w:t>9</w:t>
            </w:r>
          </w:p>
        </w:tc>
        <w:tc>
          <w:tcPr>
            <w:tcW w:w="6663" w:type="dxa"/>
          </w:tcPr>
          <w:p w14:paraId="3564740B" w14:textId="73E76D11" w:rsidR="008B16D5" w:rsidRPr="00FD0948" w:rsidRDefault="008B16D5" w:rsidP="00FD0948">
            <w:pPr>
              <w:tabs>
                <w:tab w:val="left" w:pos="7088"/>
              </w:tabs>
              <w:rPr>
                <w:b/>
                <w:sz w:val="24"/>
                <w:szCs w:val="24"/>
              </w:rPr>
            </w:pPr>
            <w:r w:rsidRPr="008B16D5">
              <w:rPr>
                <w:b/>
                <w:sz w:val="24"/>
                <w:szCs w:val="24"/>
              </w:rPr>
              <w:t>Адрес</w:t>
            </w:r>
            <w:r>
              <w:rPr>
                <w:b/>
                <w:sz w:val="24"/>
                <w:szCs w:val="24"/>
              </w:rPr>
              <w:t xml:space="preserve">а підключення </w:t>
            </w:r>
            <w:r w:rsidR="007240ED">
              <w:rPr>
                <w:b/>
                <w:sz w:val="24"/>
                <w:szCs w:val="24"/>
              </w:rPr>
              <w:t>(</w:t>
            </w:r>
            <w:r>
              <w:rPr>
                <w:b/>
                <w:sz w:val="24"/>
                <w:szCs w:val="24"/>
              </w:rPr>
              <w:t>надання</w:t>
            </w:r>
            <w:r w:rsidR="007240ED">
              <w:rPr>
                <w:b/>
                <w:sz w:val="24"/>
                <w:szCs w:val="24"/>
              </w:rPr>
              <w:t>)</w:t>
            </w:r>
            <w:r>
              <w:rPr>
                <w:b/>
                <w:sz w:val="24"/>
                <w:szCs w:val="24"/>
              </w:rPr>
              <w:t xml:space="preserve"> послуг</w:t>
            </w:r>
          </w:p>
        </w:tc>
        <w:tc>
          <w:tcPr>
            <w:tcW w:w="8581" w:type="dxa"/>
          </w:tcPr>
          <w:p w14:paraId="70432A11" w14:textId="77777777" w:rsidR="008B16D5" w:rsidRDefault="002D37F8" w:rsidP="002B2A2F">
            <w:pPr>
              <w:tabs>
                <w:tab w:val="left" w:pos="7088"/>
              </w:tabs>
              <w:jc w:val="both"/>
              <w:rPr>
                <w:color w:val="000000"/>
                <w:sz w:val="28"/>
                <w:szCs w:val="28"/>
              </w:rPr>
            </w:pPr>
            <w:r w:rsidRPr="002D37F8">
              <w:rPr>
                <w:color w:val="000000"/>
                <w:sz w:val="28"/>
                <w:szCs w:val="28"/>
              </w:rPr>
              <w:t>м. Київ, проспект Науки, 39, корпус 2</w:t>
            </w:r>
            <w:r>
              <w:rPr>
                <w:color w:val="000000"/>
                <w:sz w:val="28"/>
                <w:szCs w:val="28"/>
              </w:rPr>
              <w:t>;</w:t>
            </w:r>
          </w:p>
          <w:p w14:paraId="69C4887C" w14:textId="2D38460A" w:rsidR="002D37F8" w:rsidRPr="008B16D5" w:rsidRDefault="002D37F8" w:rsidP="002B2A2F">
            <w:pPr>
              <w:tabs>
                <w:tab w:val="left" w:pos="7088"/>
              </w:tabs>
              <w:jc w:val="both"/>
              <w:rPr>
                <w:color w:val="000000"/>
                <w:sz w:val="28"/>
                <w:szCs w:val="28"/>
              </w:rPr>
            </w:pPr>
            <w:r w:rsidRPr="002D37F8">
              <w:rPr>
                <w:color w:val="000000"/>
                <w:sz w:val="28"/>
                <w:szCs w:val="28"/>
              </w:rPr>
              <w:t>м. Київ, проспект Науки, 37, (Об’єднана гідрометеорологічна станція Київ)</w:t>
            </w:r>
          </w:p>
        </w:tc>
      </w:tr>
      <w:tr w:rsidR="007240ED" w14:paraId="54174A8D" w14:textId="77777777" w:rsidTr="00FD0948">
        <w:tc>
          <w:tcPr>
            <w:tcW w:w="675" w:type="dxa"/>
          </w:tcPr>
          <w:p w14:paraId="18DB89B8" w14:textId="7268DFE4" w:rsidR="007240ED" w:rsidRDefault="007240ED" w:rsidP="00490462">
            <w:pPr>
              <w:tabs>
                <w:tab w:val="left" w:pos="7088"/>
              </w:tabs>
              <w:jc w:val="center"/>
              <w:rPr>
                <w:color w:val="000000"/>
                <w:sz w:val="24"/>
                <w:szCs w:val="24"/>
              </w:rPr>
            </w:pPr>
            <w:r>
              <w:rPr>
                <w:color w:val="000000"/>
                <w:sz w:val="24"/>
                <w:szCs w:val="24"/>
              </w:rPr>
              <w:t>10</w:t>
            </w:r>
          </w:p>
        </w:tc>
        <w:tc>
          <w:tcPr>
            <w:tcW w:w="6663" w:type="dxa"/>
          </w:tcPr>
          <w:p w14:paraId="393F09BF" w14:textId="4CEECC13" w:rsidR="007240ED" w:rsidRPr="008B16D5" w:rsidRDefault="007240ED" w:rsidP="00FD0948">
            <w:pPr>
              <w:tabs>
                <w:tab w:val="left" w:pos="7088"/>
              </w:tabs>
              <w:rPr>
                <w:b/>
                <w:sz w:val="24"/>
                <w:szCs w:val="24"/>
              </w:rPr>
            </w:pPr>
            <w:r w:rsidRPr="007240ED">
              <w:rPr>
                <w:b/>
                <w:sz w:val="24"/>
                <w:szCs w:val="24"/>
              </w:rPr>
              <w:t xml:space="preserve">Термін </w:t>
            </w:r>
            <w:r>
              <w:rPr>
                <w:b/>
                <w:sz w:val="24"/>
                <w:szCs w:val="24"/>
              </w:rPr>
              <w:t>надання послуг</w:t>
            </w:r>
          </w:p>
        </w:tc>
        <w:tc>
          <w:tcPr>
            <w:tcW w:w="8581" w:type="dxa"/>
          </w:tcPr>
          <w:p w14:paraId="4265BD2D" w14:textId="67BFF41E" w:rsidR="007240ED" w:rsidRPr="008B16D5" w:rsidRDefault="007240ED" w:rsidP="002B2A2F">
            <w:pPr>
              <w:tabs>
                <w:tab w:val="left" w:pos="7088"/>
              </w:tabs>
              <w:jc w:val="both"/>
              <w:rPr>
                <w:color w:val="000000"/>
                <w:sz w:val="28"/>
                <w:szCs w:val="28"/>
              </w:rPr>
            </w:pPr>
            <w:r w:rsidRPr="007240ED">
              <w:rPr>
                <w:color w:val="000000"/>
                <w:sz w:val="28"/>
                <w:szCs w:val="28"/>
              </w:rPr>
              <w:t>з 01.01.202</w:t>
            </w:r>
            <w:r w:rsidR="004A275D">
              <w:rPr>
                <w:color w:val="000000"/>
                <w:sz w:val="28"/>
                <w:szCs w:val="28"/>
              </w:rPr>
              <w:t>6</w:t>
            </w:r>
            <w:r w:rsidRPr="007240ED">
              <w:rPr>
                <w:color w:val="000000"/>
                <w:sz w:val="28"/>
                <w:szCs w:val="28"/>
              </w:rPr>
              <w:t xml:space="preserve"> по 31.12.202</w:t>
            </w:r>
            <w:r w:rsidR="004A275D">
              <w:rPr>
                <w:color w:val="000000"/>
                <w:sz w:val="28"/>
                <w:szCs w:val="28"/>
              </w:rPr>
              <w:t>6</w:t>
            </w:r>
            <w:r w:rsidRPr="007240ED">
              <w:rPr>
                <w:color w:val="000000"/>
                <w:sz w:val="28"/>
                <w:szCs w:val="28"/>
              </w:rPr>
              <w:t xml:space="preserve"> року (включно)</w:t>
            </w:r>
          </w:p>
        </w:tc>
      </w:tr>
    </w:tbl>
    <w:p w14:paraId="38B42563" w14:textId="77777777" w:rsidR="00D86AEC" w:rsidRDefault="00D86AEC" w:rsidP="00490462">
      <w:pPr>
        <w:pBdr>
          <w:top w:val="nil"/>
          <w:left w:val="nil"/>
          <w:bottom w:val="nil"/>
          <w:right w:val="nil"/>
          <w:between w:val="nil"/>
        </w:pBdr>
        <w:tabs>
          <w:tab w:val="left" w:pos="7088"/>
        </w:tabs>
        <w:jc w:val="center"/>
        <w:rPr>
          <w:color w:val="000000"/>
          <w:sz w:val="28"/>
          <w:szCs w:val="16"/>
        </w:rPr>
      </w:pPr>
    </w:p>
    <w:sectPr w:rsidR="00D86AEC" w:rsidSect="00816282">
      <w:pgSz w:w="16838" w:h="11906" w:orient="landscape"/>
      <w:pgMar w:top="850" w:right="568" w:bottom="1701" w:left="567" w:header="709" w:footer="709"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7260A"/>
    <w:multiLevelType w:val="hybridMultilevel"/>
    <w:tmpl w:val="C1765F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9796A89"/>
    <w:multiLevelType w:val="hybridMultilevel"/>
    <w:tmpl w:val="52A642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9362E1"/>
    <w:multiLevelType w:val="multilevel"/>
    <w:tmpl w:val="3F76F37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99872C9"/>
    <w:multiLevelType w:val="multilevel"/>
    <w:tmpl w:val="CC72AA6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17220FA"/>
    <w:multiLevelType w:val="multilevel"/>
    <w:tmpl w:val="C202399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47436562">
    <w:abstractNumId w:val="2"/>
  </w:num>
  <w:num w:numId="2" w16cid:durableId="2104111487">
    <w:abstractNumId w:val="4"/>
  </w:num>
  <w:num w:numId="3" w16cid:durableId="391655444">
    <w:abstractNumId w:val="3"/>
  </w:num>
  <w:num w:numId="4" w16cid:durableId="614169112">
    <w:abstractNumId w:val="1"/>
  </w:num>
  <w:num w:numId="5" w16cid:durableId="200016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605"/>
    <w:rsid w:val="000162EF"/>
    <w:rsid w:val="00044D19"/>
    <w:rsid w:val="000619D7"/>
    <w:rsid w:val="000762F0"/>
    <w:rsid w:val="000D58DF"/>
    <w:rsid w:val="00151E6B"/>
    <w:rsid w:val="00173A22"/>
    <w:rsid w:val="001B53FC"/>
    <w:rsid w:val="001E67B5"/>
    <w:rsid w:val="00262B69"/>
    <w:rsid w:val="00267EAA"/>
    <w:rsid w:val="002B2A2F"/>
    <w:rsid w:val="002D37F8"/>
    <w:rsid w:val="0031588C"/>
    <w:rsid w:val="00352383"/>
    <w:rsid w:val="00362587"/>
    <w:rsid w:val="00372B9D"/>
    <w:rsid w:val="00385363"/>
    <w:rsid w:val="00391B7F"/>
    <w:rsid w:val="003A0EC8"/>
    <w:rsid w:val="003B370D"/>
    <w:rsid w:val="003D614C"/>
    <w:rsid w:val="003E72FC"/>
    <w:rsid w:val="00401687"/>
    <w:rsid w:val="004135EC"/>
    <w:rsid w:val="0044658B"/>
    <w:rsid w:val="0046333C"/>
    <w:rsid w:val="00466324"/>
    <w:rsid w:val="00490462"/>
    <w:rsid w:val="004A0D6F"/>
    <w:rsid w:val="004A275D"/>
    <w:rsid w:val="004E51C8"/>
    <w:rsid w:val="004F5370"/>
    <w:rsid w:val="00512B41"/>
    <w:rsid w:val="00546B1C"/>
    <w:rsid w:val="005B0AF2"/>
    <w:rsid w:val="0060089A"/>
    <w:rsid w:val="006A04FF"/>
    <w:rsid w:val="006C2C4F"/>
    <w:rsid w:val="006D4AE9"/>
    <w:rsid w:val="006E67B0"/>
    <w:rsid w:val="006F071B"/>
    <w:rsid w:val="00716879"/>
    <w:rsid w:val="00720696"/>
    <w:rsid w:val="007240ED"/>
    <w:rsid w:val="007571FE"/>
    <w:rsid w:val="00786206"/>
    <w:rsid w:val="008033BA"/>
    <w:rsid w:val="008135E2"/>
    <w:rsid w:val="00816282"/>
    <w:rsid w:val="008540BF"/>
    <w:rsid w:val="008B16D5"/>
    <w:rsid w:val="008B485A"/>
    <w:rsid w:val="008D3EE3"/>
    <w:rsid w:val="008F1694"/>
    <w:rsid w:val="00900F3C"/>
    <w:rsid w:val="009C5CEE"/>
    <w:rsid w:val="009C62D3"/>
    <w:rsid w:val="009F6FC5"/>
    <w:rsid w:val="00A31158"/>
    <w:rsid w:val="00A62A0C"/>
    <w:rsid w:val="00A62B74"/>
    <w:rsid w:val="00A74C7F"/>
    <w:rsid w:val="00A96C42"/>
    <w:rsid w:val="00AB2ABD"/>
    <w:rsid w:val="00B55FBB"/>
    <w:rsid w:val="00B931B1"/>
    <w:rsid w:val="00BA6D41"/>
    <w:rsid w:val="00BB6DFE"/>
    <w:rsid w:val="00BD639F"/>
    <w:rsid w:val="00BF57A5"/>
    <w:rsid w:val="00C071B3"/>
    <w:rsid w:val="00C10D7B"/>
    <w:rsid w:val="00C2448C"/>
    <w:rsid w:val="00C64862"/>
    <w:rsid w:val="00C80D56"/>
    <w:rsid w:val="00C829F0"/>
    <w:rsid w:val="00CA1C25"/>
    <w:rsid w:val="00CB690E"/>
    <w:rsid w:val="00D10C6C"/>
    <w:rsid w:val="00D56B3C"/>
    <w:rsid w:val="00D76790"/>
    <w:rsid w:val="00D86AEC"/>
    <w:rsid w:val="00D93327"/>
    <w:rsid w:val="00DA262B"/>
    <w:rsid w:val="00DB5748"/>
    <w:rsid w:val="00DD1E26"/>
    <w:rsid w:val="00E1278E"/>
    <w:rsid w:val="00E67049"/>
    <w:rsid w:val="00E83929"/>
    <w:rsid w:val="00E86EC3"/>
    <w:rsid w:val="00F34375"/>
    <w:rsid w:val="00F734CA"/>
    <w:rsid w:val="00FD0948"/>
    <w:rsid w:val="00FD7405"/>
    <w:rsid w:val="00FE4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38B98"/>
  <w15:docId w15:val="{D43BF222-8828-4774-9B60-665DDB86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BB6DFE"/>
    <w:rPr>
      <w:rFonts w:ascii="Tahoma" w:hAnsi="Tahoma" w:cs="Tahoma"/>
      <w:sz w:val="16"/>
      <w:szCs w:val="16"/>
    </w:rPr>
  </w:style>
  <w:style w:type="character" w:customStyle="1" w:styleId="a6">
    <w:name w:val="Текст выноски Знак"/>
    <w:basedOn w:val="a0"/>
    <w:link w:val="a5"/>
    <w:uiPriority w:val="99"/>
    <w:semiHidden/>
    <w:rsid w:val="00BB6DFE"/>
    <w:rPr>
      <w:rFonts w:ascii="Tahoma" w:hAnsi="Tahoma" w:cs="Tahoma"/>
      <w:sz w:val="16"/>
      <w:szCs w:val="16"/>
    </w:rPr>
  </w:style>
  <w:style w:type="paragraph" w:styleId="a7">
    <w:name w:val="List Paragraph"/>
    <w:basedOn w:val="a"/>
    <w:uiPriority w:val="34"/>
    <w:qFormat/>
    <w:rsid w:val="00FD7405"/>
    <w:pPr>
      <w:ind w:left="720"/>
      <w:contextualSpacing/>
    </w:pPr>
  </w:style>
  <w:style w:type="paragraph" w:styleId="a8">
    <w:name w:val="No Spacing"/>
    <w:uiPriority w:val="1"/>
    <w:qFormat/>
    <w:rsid w:val="00BA6D41"/>
  </w:style>
  <w:style w:type="character" w:styleId="a9">
    <w:name w:val="Hyperlink"/>
    <w:basedOn w:val="a0"/>
    <w:uiPriority w:val="99"/>
    <w:unhideWhenUsed/>
    <w:rsid w:val="00BA6D41"/>
    <w:rPr>
      <w:color w:val="0000FF" w:themeColor="hyperlink"/>
      <w:u w:val="single"/>
    </w:rPr>
  </w:style>
  <w:style w:type="table" w:styleId="aa">
    <w:name w:val="Table Grid"/>
    <w:basedOn w:val="a1"/>
    <w:uiPriority w:val="59"/>
    <w:rsid w:val="00D86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6F071B"/>
    <w:rPr>
      <w:color w:val="800080" w:themeColor="followedHyperlink"/>
      <w:u w:val="single"/>
    </w:rPr>
  </w:style>
  <w:style w:type="character" w:styleId="ac">
    <w:name w:val="Unresolved Mention"/>
    <w:basedOn w:val="a0"/>
    <w:uiPriority w:val="99"/>
    <w:semiHidden/>
    <w:unhideWhenUsed/>
    <w:rsid w:val="003B3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483399">
      <w:bodyDiv w:val="1"/>
      <w:marLeft w:val="0"/>
      <w:marRight w:val="0"/>
      <w:marTop w:val="0"/>
      <w:marBottom w:val="0"/>
      <w:divBdr>
        <w:top w:val="none" w:sz="0" w:space="0" w:color="auto"/>
        <w:left w:val="none" w:sz="0" w:space="0" w:color="auto"/>
        <w:bottom w:val="none" w:sz="0" w:space="0" w:color="auto"/>
        <w:right w:val="none" w:sz="0" w:space="0" w:color="auto"/>
      </w:divBdr>
      <w:divsChild>
        <w:div w:id="1057555596">
          <w:marLeft w:val="0"/>
          <w:marRight w:val="0"/>
          <w:marTop w:val="0"/>
          <w:marBottom w:val="300"/>
          <w:divBdr>
            <w:top w:val="none" w:sz="0" w:space="0" w:color="auto"/>
            <w:left w:val="none" w:sz="0" w:space="0" w:color="auto"/>
            <w:bottom w:val="none" w:sz="0" w:space="0" w:color="auto"/>
            <w:right w:val="none" w:sz="0" w:space="0" w:color="auto"/>
          </w:divBdr>
        </w:div>
      </w:divsChild>
    </w:div>
    <w:div w:id="965085993">
      <w:bodyDiv w:val="1"/>
      <w:marLeft w:val="0"/>
      <w:marRight w:val="0"/>
      <w:marTop w:val="0"/>
      <w:marBottom w:val="0"/>
      <w:divBdr>
        <w:top w:val="none" w:sz="0" w:space="0" w:color="auto"/>
        <w:left w:val="none" w:sz="0" w:space="0" w:color="auto"/>
        <w:bottom w:val="none" w:sz="0" w:space="0" w:color="auto"/>
        <w:right w:val="none" w:sz="0" w:space="0" w:color="auto"/>
      </w:divBdr>
    </w:div>
    <w:div w:id="1993874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821BC-9A1A-4A02-AE63-F46DEDF49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3576</Words>
  <Characters>2039</Characters>
  <Application>Microsoft Office Word</Application>
  <DocSecurity>0</DocSecurity>
  <Lines>16</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Натали</dc:creator>
  <cp:lastModifiedBy>CGO1</cp:lastModifiedBy>
  <cp:revision>4</cp:revision>
  <cp:lastPrinted>2023-04-14T10:13:00Z</cp:lastPrinted>
  <dcterms:created xsi:type="dcterms:W3CDTF">2024-12-10T12:36:00Z</dcterms:created>
  <dcterms:modified xsi:type="dcterms:W3CDTF">2025-12-04T15:56:00Z</dcterms:modified>
</cp:coreProperties>
</file>