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E06637" w:rsidRDefault="00FD7FF3">
      <w:pPr>
        <w:jc w:val="center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E06637" w:rsidRDefault="00FD7FF3">
      <w:pPr>
        <w:jc w:val="center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(відповідно до пункту 4</w:t>
      </w:r>
      <w:r w:rsidRPr="00E06637">
        <w:rPr>
          <w:iCs/>
          <w:sz w:val="22"/>
          <w:szCs w:val="22"/>
          <w:vertAlign w:val="superscript"/>
        </w:rPr>
        <w:t xml:space="preserve">1 </w:t>
      </w:r>
      <w:r w:rsidRPr="00E06637">
        <w:rPr>
          <w:iCs/>
          <w:sz w:val="22"/>
          <w:szCs w:val="22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E06637" w:rsidRDefault="008B4F5C">
      <w:pPr>
        <w:jc w:val="center"/>
        <w:rPr>
          <w:iCs/>
          <w:sz w:val="22"/>
          <w:szCs w:val="22"/>
        </w:rPr>
      </w:pPr>
    </w:p>
    <w:p w14:paraId="00000006" w14:textId="543D1B98" w:rsidR="008B4F5C" w:rsidRPr="00E06637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>
        <w:rPr>
          <w:iCs/>
          <w:sz w:val="22"/>
          <w:szCs w:val="22"/>
        </w:rPr>
        <w:t>ЦЕНТРАЛЬНА ГЕОФІЗИЧНА ОБСЕРВАТОРІЯ ІМЕНІ БОРИСА СРЕЗНЕВСЬКОГО</w:t>
      </w:r>
      <w:r w:rsidR="00860481" w:rsidRPr="00E06637">
        <w:rPr>
          <w:iCs/>
          <w:sz w:val="22"/>
          <w:szCs w:val="22"/>
        </w:rPr>
        <w:t xml:space="preserve">, місцезнаходження замовника: </w:t>
      </w:r>
      <w:r w:rsidR="004F3C2B">
        <w:rPr>
          <w:iCs/>
          <w:sz w:val="22"/>
          <w:szCs w:val="22"/>
        </w:rPr>
        <w:t>проспект Науки</w:t>
      </w:r>
      <w:r w:rsidR="00860481" w:rsidRPr="00E06637">
        <w:rPr>
          <w:iCs/>
          <w:sz w:val="22"/>
          <w:szCs w:val="22"/>
        </w:rPr>
        <w:t xml:space="preserve">, </w:t>
      </w:r>
      <w:r w:rsidR="004F3C2B">
        <w:rPr>
          <w:iCs/>
          <w:sz w:val="22"/>
          <w:szCs w:val="22"/>
        </w:rPr>
        <w:t>39</w:t>
      </w:r>
      <w:r w:rsidR="00860481" w:rsidRPr="00E06637">
        <w:rPr>
          <w:iCs/>
          <w:sz w:val="22"/>
          <w:szCs w:val="22"/>
        </w:rPr>
        <w:t xml:space="preserve">, корпус </w:t>
      </w:r>
      <w:r w:rsidR="004F3C2B">
        <w:rPr>
          <w:iCs/>
          <w:sz w:val="22"/>
          <w:szCs w:val="22"/>
        </w:rPr>
        <w:t>2</w:t>
      </w:r>
      <w:r w:rsidR="00860481" w:rsidRPr="00E06637">
        <w:rPr>
          <w:iCs/>
          <w:sz w:val="22"/>
          <w:szCs w:val="22"/>
        </w:rPr>
        <w:t>, м. Київ, 0</w:t>
      </w:r>
      <w:r w:rsidR="004F3C2B">
        <w:rPr>
          <w:iCs/>
          <w:sz w:val="22"/>
          <w:szCs w:val="22"/>
        </w:rPr>
        <w:t>3028</w:t>
      </w:r>
      <w:r w:rsidR="00860481" w:rsidRPr="00E06637">
        <w:rPr>
          <w:iCs/>
          <w:sz w:val="22"/>
          <w:szCs w:val="22"/>
        </w:rPr>
        <w:t xml:space="preserve">, код ЄДРПОУ </w:t>
      </w:r>
      <w:r w:rsidR="004F3C2B">
        <w:rPr>
          <w:iCs/>
          <w:sz w:val="22"/>
          <w:szCs w:val="22"/>
        </w:rPr>
        <w:t>22864480</w:t>
      </w:r>
      <w:r w:rsidRPr="00E06637">
        <w:rPr>
          <w:iCs/>
          <w:sz w:val="22"/>
          <w:szCs w:val="22"/>
        </w:rPr>
        <w:t xml:space="preserve">; категорія замовника — </w:t>
      </w:r>
      <w:r w:rsidR="00913713" w:rsidRPr="00913713">
        <w:rPr>
          <w:iCs/>
          <w:sz w:val="22"/>
          <w:szCs w:val="22"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E06637" w:rsidRDefault="008B4F5C" w:rsidP="003D2C96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05773928" w14:textId="77777777" w:rsidR="00914FBF" w:rsidRPr="00E06637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6496DE4" w14:textId="53817A23" w:rsidR="00653F31" w:rsidRPr="002425EA" w:rsidRDefault="00DF1AE7" w:rsidP="003D2C96">
      <w:pPr>
        <w:jc w:val="both"/>
        <w:rPr>
          <w:iCs/>
          <w:sz w:val="22"/>
          <w:szCs w:val="22"/>
        </w:rPr>
      </w:pPr>
      <w:bookmarkStart w:id="0" w:name="_Hlk204937198"/>
      <w:r w:rsidRPr="00DF1AE7">
        <w:rPr>
          <w:bCs/>
          <w:sz w:val="22"/>
          <w:szCs w:val="22"/>
        </w:rPr>
        <w:t>«</w:t>
      </w:r>
      <w:r w:rsidR="00E6606E" w:rsidRPr="00E6606E">
        <w:rPr>
          <w:bCs/>
          <w:sz w:val="22"/>
          <w:szCs w:val="22"/>
        </w:rPr>
        <w:t xml:space="preserve">Капітальний ремонт приміщень в будівлі лабораторії радіохімії та </w:t>
      </w:r>
      <w:proofErr w:type="spellStart"/>
      <w:r w:rsidR="00E6606E" w:rsidRPr="00E6606E">
        <w:rPr>
          <w:bCs/>
          <w:sz w:val="22"/>
          <w:szCs w:val="22"/>
        </w:rPr>
        <w:t>пробопідготовки</w:t>
      </w:r>
      <w:proofErr w:type="spellEnd"/>
      <w:r w:rsidR="00E6606E" w:rsidRPr="00E6606E">
        <w:rPr>
          <w:bCs/>
          <w:sz w:val="22"/>
          <w:szCs w:val="22"/>
        </w:rPr>
        <w:t xml:space="preserve"> за </w:t>
      </w:r>
      <w:proofErr w:type="spellStart"/>
      <w:r w:rsidR="00E6606E" w:rsidRPr="00E6606E">
        <w:rPr>
          <w:bCs/>
          <w:sz w:val="22"/>
          <w:szCs w:val="22"/>
        </w:rPr>
        <w:t>адресою</w:t>
      </w:r>
      <w:proofErr w:type="spellEnd"/>
      <w:r w:rsidR="00E6606E" w:rsidRPr="00E6606E">
        <w:rPr>
          <w:bCs/>
          <w:sz w:val="22"/>
          <w:szCs w:val="22"/>
        </w:rPr>
        <w:t>: проспект Науки, 37 м. Київ</w:t>
      </w:r>
      <w:r w:rsidRPr="00DF1AE7">
        <w:rPr>
          <w:bCs/>
          <w:sz w:val="22"/>
          <w:szCs w:val="22"/>
        </w:rPr>
        <w:t xml:space="preserve">» </w:t>
      </w:r>
      <w:r w:rsidR="002425EA" w:rsidRPr="002425EA">
        <w:rPr>
          <w:bCs/>
          <w:sz w:val="22"/>
          <w:szCs w:val="22"/>
        </w:rPr>
        <w:t>(код ДК 021:2015 - 45453000-7 – «Капітальний ремонт і реставрація»)</w:t>
      </w:r>
      <w:bookmarkEnd w:id="0"/>
    </w:p>
    <w:p w14:paraId="0000000B" w14:textId="462D78CB" w:rsidR="008B4F5C" w:rsidRPr="00E6606E" w:rsidRDefault="00FD7FF3" w:rsidP="00E6606E">
      <w:pPr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iCs/>
          <w:sz w:val="22"/>
          <w:szCs w:val="22"/>
        </w:rPr>
      </w:pPr>
      <w:r w:rsidRPr="00E6606E">
        <w:rPr>
          <w:b/>
          <w:iCs/>
          <w:sz w:val="22"/>
          <w:szCs w:val="22"/>
        </w:rPr>
        <w:t xml:space="preserve">Ідентифікатор закупівлі: </w:t>
      </w:r>
      <w:r w:rsidR="0011118A" w:rsidRPr="00E6606E">
        <w:rPr>
          <w:color w:val="EE0000"/>
        </w:rPr>
        <w:tab/>
      </w:r>
      <w:r w:rsidR="00E6606E" w:rsidRPr="00E6606E">
        <w:t>UA-2025-08-13-001326-a</w:t>
      </w:r>
    </w:p>
    <w:p w14:paraId="35AE50E7" w14:textId="77777777" w:rsidR="00E6606E" w:rsidRPr="00E6606E" w:rsidRDefault="00E6606E" w:rsidP="00E6606E">
      <w:pPr>
        <w:tabs>
          <w:tab w:val="left" w:pos="284"/>
        </w:tabs>
        <w:ind w:left="644"/>
        <w:jc w:val="both"/>
        <w:rPr>
          <w:iCs/>
          <w:sz w:val="22"/>
          <w:szCs w:val="22"/>
        </w:rPr>
      </w:pPr>
    </w:p>
    <w:p w14:paraId="0A82071E" w14:textId="1B715B71" w:rsidR="00A97C19" w:rsidRPr="00A97C19" w:rsidRDefault="00A97C19" w:rsidP="00A97C19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4. </w:t>
      </w:r>
      <w:r w:rsidR="00FD7FF3" w:rsidRPr="00A97C19">
        <w:rPr>
          <w:b/>
          <w:iCs/>
          <w:sz w:val="22"/>
          <w:szCs w:val="22"/>
        </w:rPr>
        <w:t>Обґрунтування технічних та якісних характеристик предмета закупівлі:</w:t>
      </w:r>
      <w:r w:rsidR="00FD7FF3" w:rsidRPr="00A97C19">
        <w:rPr>
          <w:iCs/>
          <w:sz w:val="22"/>
          <w:szCs w:val="22"/>
        </w:rPr>
        <w:t xml:space="preserve"> </w:t>
      </w:r>
      <w:r w:rsidRPr="00A97C19">
        <w:rPr>
          <w:sz w:val="22"/>
          <w:szCs w:val="22"/>
        </w:rPr>
        <w:t xml:space="preserve">Обґрунтування технічних та якісних характеристик предмета закупівлі здійснено на підставі затвердженої </w:t>
      </w:r>
      <w:proofErr w:type="spellStart"/>
      <w:r w:rsidRPr="00E6606E">
        <w:rPr>
          <w:sz w:val="22"/>
          <w:szCs w:val="22"/>
        </w:rPr>
        <w:t>проєктно</w:t>
      </w:r>
      <w:proofErr w:type="spellEnd"/>
      <w:r w:rsidRPr="00E6606E">
        <w:rPr>
          <w:sz w:val="22"/>
          <w:szCs w:val="22"/>
        </w:rPr>
        <w:t xml:space="preserve">-кошторисної документації за робочим </w:t>
      </w:r>
      <w:proofErr w:type="spellStart"/>
      <w:r w:rsidRPr="00E6606E">
        <w:rPr>
          <w:sz w:val="22"/>
          <w:szCs w:val="22"/>
        </w:rPr>
        <w:t>проєктом</w:t>
      </w:r>
      <w:proofErr w:type="spellEnd"/>
      <w:r w:rsidRPr="00E6606E">
        <w:rPr>
          <w:sz w:val="22"/>
          <w:szCs w:val="22"/>
        </w:rPr>
        <w:t xml:space="preserve"> </w:t>
      </w:r>
      <w:r w:rsidR="00434B1B" w:rsidRPr="00E6606E">
        <w:rPr>
          <w:sz w:val="22"/>
          <w:szCs w:val="22"/>
        </w:rPr>
        <w:t>«</w:t>
      </w:r>
      <w:r w:rsidR="00E6606E" w:rsidRPr="00E6606E">
        <w:rPr>
          <w:rStyle w:val="a8"/>
          <w:b w:val="0"/>
          <w:bCs w:val="0"/>
          <w:sz w:val="22"/>
          <w:szCs w:val="22"/>
        </w:rPr>
        <w:t xml:space="preserve">Капітальний ремонт приміщень в будівлі лабораторії радіохімії та </w:t>
      </w:r>
      <w:proofErr w:type="spellStart"/>
      <w:r w:rsidR="00E6606E" w:rsidRPr="00E6606E">
        <w:rPr>
          <w:rStyle w:val="a8"/>
          <w:b w:val="0"/>
          <w:bCs w:val="0"/>
          <w:sz w:val="22"/>
          <w:szCs w:val="22"/>
        </w:rPr>
        <w:t>пробопідготовки</w:t>
      </w:r>
      <w:proofErr w:type="spellEnd"/>
      <w:r w:rsidR="00E6606E" w:rsidRPr="00E6606E">
        <w:rPr>
          <w:rStyle w:val="a8"/>
          <w:b w:val="0"/>
          <w:bCs w:val="0"/>
          <w:sz w:val="22"/>
          <w:szCs w:val="22"/>
        </w:rPr>
        <w:t xml:space="preserve"> за </w:t>
      </w:r>
      <w:proofErr w:type="spellStart"/>
      <w:r w:rsidR="00E6606E" w:rsidRPr="00E6606E">
        <w:rPr>
          <w:rStyle w:val="a8"/>
          <w:b w:val="0"/>
          <w:bCs w:val="0"/>
          <w:sz w:val="22"/>
          <w:szCs w:val="22"/>
        </w:rPr>
        <w:t>адресою</w:t>
      </w:r>
      <w:proofErr w:type="spellEnd"/>
      <w:r w:rsidR="00E6606E" w:rsidRPr="00E6606E">
        <w:rPr>
          <w:rStyle w:val="a8"/>
          <w:b w:val="0"/>
          <w:bCs w:val="0"/>
          <w:sz w:val="22"/>
          <w:szCs w:val="22"/>
        </w:rPr>
        <w:t>: проспект Науки, 37 м. Київ</w:t>
      </w:r>
      <w:r w:rsidRPr="00E6606E">
        <w:rPr>
          <w:rStyle w:val="a8"/>
          <w:b w:val="0"/>
          <w:bCs w:val="0"/>
          <w:sz w:val="22"/>
          <w:szCs w:val="22"/>
        </w:rPr>
        <w:t>»</w:t>
      </w:r>
      <w:r w:rsidRPr="00E6606E">
        <w:rPr>
          <w:sz w:val="22"/>
          <w:szCs w:val="22"/>
        </w:rPr>
        <w:t xml:space="preserve">, який розроблений відповідно </w:t>
      </w:r>
      <w:r w:rsidRPr="00A97C19">
        <w:rPr>
          <w:sz w:val="22"/>
          <w:szCs w:val="22"/>
        </w:rPr>
        <w:t>до державних будівельних норм, стандартів та правил, з урахуванням технічного стану об’єкта, визначених обсягів робіт, особливостей конструкцій покрівлі та експлуатаційних вимог.</w:t>
      </w:r>
    </w:p>
    <w:p w14:paraId="5AA7C30C" w14:textId="77777777" w:rsidR="00A97C19" w:rsidRDefault="00A97C19" w:rsidP="00A97C19">
      <w:pPr>
        <w:pStyle w:val="a7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A97C19">
        <w:rPr>
          <w:sz w:val="22"/>
          <w:szCs w:val="22"/>
        </w:rPr>
        <w:t xml:space="preserve">Вимоги до технічних та якісних характеристик робіт, що підлягають закупівлі, викладені у затвердженому робочому </w:t>
      </w:r>
      <w:proofErr w:type="spellStart"/>
      <w:r w:rsidRPr="00A97C19">
        <w:rPr>
          <w:sz w:val="22"/>
          <w:szCs w:val="22"/>
        </w:rPr>
        <w:t>проєкті</w:t>
      </w:r>
      <w:proofErr w:type="spellEnd"/>
      <w:r w:rsidRPr="00A97C19">
        <w:rPr>
          <w:sz w:val="22"/>
          <w:szCs w:val="22"/>
        </w:rPr>
        <w:t>, містять:</w:t>
      </w:r>
    </w:p>
    <w:p w14:paraId="2ABF1E7B" w14:textId="77777777" w:rsid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види будівельних робіт;</w:t>
      </w:r>
    </w:p>
    <w:p w14:paraId="1408741F" w14:textId="77777777" w:rsid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перелік і характеристику будівельних матеріалів та конструкцій;</w:t>
      </w:r>
    </w:p>
    <w:p w14:paraId="051BA199" w14:textId="77777777" w:rsid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обсяги робіт;</w:t>
      </w:r>
    </w:p>
    <w:p w14:paraId="15795D33" w14:textId="77777777" w:rsid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вимоги до безпеки, довговічності та експлуатаційної придатності конструкцій;</w:t>
      </w:r>
    </w:p>
    <w:p w14:paraId="3957BDAD" w14:textId="45EFA428" w:rsidR="00A97C19" w:rsidRP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перелік нормативних документів, яких має дотримуватися виконавець робіт.</w:t>
      </w:r>
    </w:p>
    <w:p w14:paraId="76145D07" w14:textId="77777777" w:rsidR="00A97C19" w:rsidRPr="00A97C19" w:rsidRDefault="00A97C19" w:rsidP="00A97C19">
      <w:pPr>
        <w:pStyle w:val="a7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Зазначені характеристики відповідають меті закупівлі – відновленню технічно справного та герметичного стану покрівлі з урахуванням забезпечення подальшої безпечної експлуатації будівлі.</w:t>
      </w:r>
    </w:p>
    <w:p w14:paraId="43F0781F" w14:textId="2E96A36B" w:rsidR="00732518" w:rsidRPr="00A97C19" w:rsidRDefault="00732518" w:rsidP="00A97C19">
      <w:pPr>
        <w:widowControl w:val="0"/>
        <w:tabs>
          <w:tab w:val="left" w:pos="0"/>
        </w:tabs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A97C19">
        <w:rPr>
          <w:rFonts w:eastAsia="Calibri"/>
          <w:bCs/>
          <w:color w:val="000000"/>
          <w:sz w:val="22"/>
          <w:szCs w:val="22"/>
          <w:lang w:eastAsia="en-US"/>
        </w:rPr>
        <w:t xml:space="preserve">Всі матеріали, які будуть використанні при виконанні робіт, повинні відповідати вимогам ДСТУ і технічним умовам діючим на території України. </w:t>
      </w:r>
    </w:p>
    <w:p w14:paraId="7B3D2628" w14:textId="1384C759" w:rsidR="00732518" w:rsidRPr="00732518" w:rsidRDefault="00732518" w:rsidP="00A97C19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A97C19">
        <w:rPr>
          <w:rFonts w:eastAsia="Calibri"/>
          <w:bCs/>
          <w:color w:val="000000"/>
          <w:sz w:val="22"/>
          <w:szCs w:val="22"/>
          <w:lang w:eastAsia="en-US"/>
        </w:rPr>
        <w:t xml:space="preserve">Матеріли, що будуть використовуватися в ході </w:t>
      </w:r>
      <w:r w:rsidR="00A97C19">
        <w:rPr>
          <w:rFonts w:eastAsia="Calibri"/>
          <w:bCs/>
          <w:color w:val="000000"/>
          <w:sz w:val="22"/>
          <w:szCs w:val="22"/>
          <w:lang w:eastAsia="en-US"/>
        </w:rPr>
        <w:t>робіт</w:t>
      </w:r>
      <w:r w:rsidRPr="00A97C19">
        <w:rPr>
          <w:rFonts w:eastAsia="Calibri"/>
          <w:bCs/>
          <w:color w:val="000000"/>
          <w:sz w:val="22"/>
          <w:szCs w:val="22"/>
          <w:lang w:eastAsia="en-US"/>
        </w:rPr>
        <w:t xml:space="preserve"> за предметом закупівлі,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 xml:space="preserve"> які потребують сертифікації, згідно чинного законодавства України, повинні бути сертифіковані в Україні.</w:t>
      </w:r>
    </w:p>
    <w:p w14:paraId="41D65123" w14:textId="4DC1B79F" w:rsidR="00732518" w:rsidRDefault="00732518" w:rsidP="00732518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32518">
        <w:rPr>
          <w:rFonts w:eastAsia="Calibri"/>
          <w:bCs/>
          <w:color w:val="000000"/>
          <w:sz w:val="22"/>
          <w:szCs w:val="22"/>
          <w:lang w:eastAsia="en-US"/>
        </w:rPr>
        <w:t xml:space="preserve">При проведенні </w:t>
      </w:r>
      <w:r w:rsidR="00A97C19">
        <w:rPr>
          <w:rFonts w:eastAsia="Calibri"/>
          <w:bCs/>
          <w:color w:val="000000"/>
          <w:sz w:val="22"/>
          <w:szCs w:val="22"/>
          <w:lang w:eastAsia="en-US"/>
        </w:rPr>
        <w:t>робіт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 xml:space="preserve"> виконавець повинен виконувати заходи, що забезпечують дотримання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правил техніки безпеки у відповідності із Законом України «Про охорону праці», інших чинних нормативних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документів та актів з охорони праці та промислової безпеки у будівництві (при реконструкції, що передбачене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закупівлею), природоохоронного законодавства, державних будівельних норм (ДБН), правил безпечного зведення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споруд, гігієнічних нормативів, санітарних правил і норм тощо.</w:t>
      </w:r>
    </w:p>
    <w:p w14:paraId="09609F11" w14:textId="4799899D" w:rsidR="00732518" w:rsidRPr="00732518" w:rsidRDefault="00732518" w:rsidP="00732518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Виконавець надає гарантії якості на виконані послуги, встановлене обладнання та використані матеріали терміном не менше 1</w:t>
      </w:r>
      <w:r w:rsidR="00A97C19">
        <w:rPr>
          <w:rFonts w:eastAsia="Calibri"/>
          <w:bCs/>
          <w:color w:val="000000"/>
          <w:sz w:val="22"/>
          <w:szCs w:val="22"/>
          <w:lang w:eastAsia="en-US"/>
        </w:rPr>
        <w:t>0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 xml:space="preserve"> рок</w:t>
      </w:r>
      <w:r w:rsidR="00A97C19">
        <w:rPr>
          <w:rFonts w:eastAsia="Calibri"/>
          <w:bCs/>
          <w:color w:val="000000"/>
          <w:sz w:val="22"/>
          <w:szCs w:val="22"/>
          <w:lang w:eastAsia="en-US"/>
        </w:rPr>
        <w:t>ів</w:t>
      </w:r>
      <w:r w:rsidR="00AD7337"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14:paraId="118E7C41" w14:textId="77777777" w:rsidR="00281578" w:rsidRDefault="00281578" w:rsidP="00281578">
      <w:pPr>
        <w:tabs>
          <w:tab w:val="left" w:pos="284"/>
        </w:tabs>
        <w:jc w:val="both"/>
        <w:rPr>
          <w:b/>
          <w:iCs/>
          <w:sz w:val="22"/>
          <w:szCs w:val="22"/>
        </w:rPr>
      </w:pPr>
    </w:p>
    <w:p w14:paraId="0000000E" w14:textId="14447BA7" w:rsidR="008B4F5C" w:rsidRPr="00E06637" w:rsidRDefault="00A97C19" w:rsidP="00A97C19">
      <w:pPr>
        <w:tabs>
          <w:tab w:val="left" w:pos="284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5. </w:t>
      </w:r>
      <w:r w:rsidR="00FD7FF3" w:rsidRPr="00E06637">
        <w:rPr>
          <w:b/>
          <w:iCs/>
          <w:sz w:val="22"/>
          <w:szCs w:val="22"/>
        </w:rPr>
        <w:t xml:space="preserve">Обґрунтування розміру бюджетного призначення: </w:t>
      </w:r>
      <w:r w:rsidRPr="00A97C19">
        <w:rPr>
          <w:iCs/>
          <w:sz w:val="22"/>
          <w:szCs w:val="22"/>
        </w:rPr>
        <w:t xml:space="preserve">Розмір бюджетного призначення визначено відповідно до затвердженого кошторису на 2025 рік та </w:t>
      </w:r>
      <w:r w:rsidRPr="00E6606E">
        <w:rPr>
          <w:iCs/>
          <w:sz w:val="22"/>
          <w:szCs w:val="22"/>
        </w:rPr>
        <w:t xml:space="preserve">становить </w:t>
      </w:r>
      <w:bookmarkStart w:id="1" w:name="_Hlk204939924"/>
      <w:r w:rsidR="00434B1B" w:rsidRPr="00E6606E">
        <w:rPr>
          <w:iCs/>
          <w:sz w:val="22"/>
          <w:szCs w:val="22"/>
        </w:rPr>
        <w:t>1 629 301</w:t>
      </w:r>
      <w:r w:rsidRPr="00E6606E">
        <w:rPr>
          <w:iCs/>
          <w:sz w:val="22"/>
          <w:szCs w:val="22"/>
        </w:rPr>
        <w:t xml:space="preserve">,00 </w:t>
      </w:r>
      <w:r w:rsidRPr="0011118A">
        <w:rPr>
          <w:iCs/>
          <w:sz w:val="22"/>
          <w:szCs w:val="22"/>
        </w:rPr>
        <w:t xml:space="preserve">грн </w:t>
      </w:r>
      <w:r w:rsidRPr="00A97C19">
        <w:rPr>
          <w:iCs/>
          <w:sz w:val="22"/>
          <w:szCs w:val="22"/>
        </w:rPr>
        <w:t>(з ПДВ).</w:t>
      </w:r>
      <w:r w:rsidR="00FD7FF3" w:rsidRPr="00E06637">
        <w:rPr>
          <w:iCs/>
          <w:sz w:val="22"/>
          <w:szCs w:val="22"/>
        </w:rPr>
        <w:t xml:space="preserve"> </w:t>
      </w:r>
      <w:bookmarkEnd w:id="1"/>
    </w:p>
    <w:p w14:paraId="0000000F" w14:textId="77777777" w:rsidR="008B4F5C" w:rsidRPr="00E06637" w:rsidRDefault="008B4F5C" w:rsidP="003D2C96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00000010" w14:textId="328CF496" w:rsidR="008B4F5C" w:rsidRPr="00E06637" w:rsidRDefault="00A97C19" w:rsidP="00A97C19">
      <w:pPr>
        <w:tabs>
          <w:tab w:val="left" w:pos="284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6. </w:t>
      </w:r>
      <w:r w:rsidR="00FD7FF3" w:rsidRPr="00E06637">
        <w:rPr>
          <w:b/>
          <w:iCs/>
          <w:sz w:val="22"/>
          <w:szCs w:val="22"/>
        </w:rPr>
        <w:t>Очікувана вартість предмета закупівлі</w:t>
      </w:r>
      <w:r w:rsidR="00FD7FF3" w:rsidRPr="00E6606E">
        <w:rPr>
          <w:b/>
          <w:iCs/>
          <w:sz w:val="22"/>
          <w:szCs w:val="22"/>
        </w:rPr>
        <w:t xml:space="preserve">: </w:t>
      </w:r>
      <w:r w:rsidR="00434B1B" w:rsidRPr="00E6606E">
        <w:rPr>
          <w:iCs/>
          <w:sz w:val="22"/>
          <w:szCs w:val="22"/>
        </w:rPr>
        <w:t xml:space="preserve">1 629 301,00 </w:t>
      </w:r>
      <w:r w:rsidRPr="00E6606E">
        <w:rPr>
          <w:iCs/>
          <w:sz w:val="22"/>
          <w:szCs w:val="22"/>
        </w:rPr>
        <w:t xml:space="preserve">грн </w:t>
      </w:r>
      <w:r w:rsidR="00FD7FF3" w:rsidRPr="00E06637">
        <w:rPr>
          <w:iCs/>
          <w:sz w:val="22"/>
          <w:szCs w:val="22"/>
        </w:rPr>
        <w:t>з ПДВ.</w:t>
      </w:r>
    </w:p>
    <w:p w14:paraId="00000011" w14:textId="77777777" w:rsidR="008B4F5C" w:rsidRPr="00E06637" w:rsidRDefault="008B4F5C" w:rsidP="003D2C96">
      <w:pPr>
        <w:jc w:val="both"/>
        <w:rPr>
          <w:iCs/>
          <w:sz w:val="22"/>
          <w:szCs w:val="22"/>
        </w:rPr>
      </w:pPr>
    </w:p>
    <w:p w14:paraId="00000012" w14:textId="30733000" w:rsidR="008B4F5C" w:rsidRPr="00E06637" w:rsidRDefault="00A97C19" w:rsidP="00A97C19">
      <w:pPr>
        <w:tabs>
          <w:tab w:val="left" w:pos="284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7. </w:t>
      </w:r>
      <w:r w:rsidR="00FD7FF3" w:rsidRPr="00E06637">
        <w:rPr>
          <w:b/>
          <w:iCs/>
          <w:sz w:val="22"/>
          <w:szCs w:val="22"/>
        </w:rPr>
        <w:t>Обґрунтування очікуваної вартості предмета закупівлі:</w:t>
      </w:r>
    </w:p>
    <w:p w14:paraId="5A6CC005" w14:textId="589DA48B" w:rsidR="001121E3" w:rsidRDefault="001121E3" w:rsidP="001121E3">
      <w:pPr>
        <w:ind w:firstLine="284"/>
        <w:jc w:val="both"/>
        <w:rPr>
          <w:iCs/>
          <w:sz w:val="22"/>
          <w:szCs w:val="22"/>
        </w:rPr>
      </w:pPr>
      <w:r w:rsidRPr="001121E3">
        <w:rPr>
          <w:iCs/>
          <w:sz w:val="22"/>
          <w:szCs w:val="22"/>
        </w:rPr>
        <w:t>Очікувана вартість предмета закупівлі є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розрахунковою вартістю предмета закупівлі</w:t>
      </w:r>
      <w:r>
        <w:rPr>
          <w:iCs/>
          <w:sz w:val="22"/>
          <w:szCs w:val="22"/>
        </w:rPr>
        <w:t xml:space="preserve"> «</w:t>
      </w:r>
      <w:r w:rsidR="00DF1AE7" w:rsidRPr="00DF1AE7">
        <w:rPr>
          <w:iCs/>
          <w:sz w:val="22"/>
          <w:szCs w:val="22"/>
        </w:rPr>
        <w:t xml:space="preserve">«Капітальний ремонт приміщень в будівлі лабораторії радіохімії та </w:t>
      </w:r>
      <w:proofErr w:type="spellStart"/>
      <w:r w:rsidR="00DF1AE7" w:rsidRPr="00DF1AE7">
        <w:rPr>
          <w:iCs/>
          <w:sz w:val="22"/>
          <w:szCs w:val="22"/>
        </w:rPr>
        <w:t>пробопідготовки</w:t>
      </w:r>
      <w:proofErr w:type="spellEnd"/>
      <w:r w:rsidR="00DF1AE7" w:rsidRPr="00DF1AE7">
        <w:rPr>
          <w:iCs/>
          <w:sz w:val="22"/>
          <w:szCs w:val="22"/>
        </w:rPr>
        <w:t xml:space="preserve"> за </w:t>
      </w:r>
      <w:proofErr w:type="spellStart"/>
      <w:r w:rsidR="00DF1AE7" w:rsidRPr="00DF1AE7">
        <w:rPr>
          <w:iCs/>
          <w:sz w:val="22"/>
          <w:szCs w:val="22"/>
        </w:rPr>
        <w:t>адресою</w:t>
      </w:r>
      <w:proofErr w:type="spellEnd"/>
      <w:r w:rsidR="00DF1AE7" w:rsidRPr="00DF1AE7">
        <w:rPr>
          <w:iCs/>
          <w:sz w:val="22"/>
          <w:szCs w:val="22"/>
        </w:rPr>
        <w:t>: проспект Науки, 37 м. Київ»</w:t>
      </w:r>
      <w:r w:rsidRPr="00DF1AE7">
        <w:rPr>
          <w:iCs/>
          <w:sz w:val="22"/>
          <w:szCs w:val="22"/>
        </w:rPr>
        <w:t>»</w:t>
      </w:r>
      <w:r w:rsidRPr="001121E3">
        <w:rPr>
          <w:iCs/>
          <w:sz w:val="22"/>
          <w:szCs w:val="22"/>
        </w:rPr>
        <w:t xml:space="preserve"> що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 xml:space="preserve">сформована відповідно до затвердженої у встановленому порядку </w:t>
      </w:r>
      <w:proofErr w:type="spellStart"/>
      <w:r w:rsidRPr="001121E3">
        <w:rPr>
          <w:iCs/>
          <w:sz w:val="22"/>
          <w:szCs w:val="22"/>
        </w:rPr>
        <w:t>проєктної</w:t>
      </w:r>
      <w:proofErr w:type="spellEnd"/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документації на будівництво виходячи з вимог до предмета закупівлі, у тому числі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його технічних, якісних, кількісних характеристик.</w:t>
      </w:r>
    </w:p>
    <w:p w14:paraId="08B66C29" w14:textId="1CBB5922" w:rsidR="00ED4F20" w:rsidRDefault="000A2AFE" w:rsidP="00ED4F20">
      <w:pPr>
        <w:ind w:firstLine="284"/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lastRenderedPageBreak/>
        <w:t xml:space="preserve">Очікувана вартість предмету закупівлі визначена відповідно до </w:t>
      </w:r>
      <w:r w:rsidR="00876776">
        <w:rPr>
          <w:iCs/>
          <w:sz w:val="22"/>
          <w:szCs w:val="22"/>
        </w:rPr>
        <w:t>розроблен</w:t>
      </w:r>
      <w:r w:rsidR="00BD7146">
        <w:rPr>
          <w:iCs/>
          <w:sz w:val="22"/>
          <w:szCs w:val="22"/>
        </w:rPr>
        <w:t>ого</w:t>
      </w:r>
      <w:r w:rsidR="00876776">
        <w:rPr>
          <w:iCs/>
          <w:sz w:val="22"/>
          <w:szCs w:val="22"/>
        </w:rPr>
        <w:t xml:space="preserve"> </w:t>
      </w:r>
      <w:r w:rsidR="00AD7337">
        <w:rPr>
          <w:iCs/>
          <w:sz w:val="22"/>
          <w:szCs w:val="22"/>
        </w:rPr>
        <w:t>та затверджено</w:t>
      </w:r>
      <w:r w:rsidR="00BD7146">
        <w:rPr>
          <w:iCs/>
          <w:sz w:val="22"/>
          <w:szCs w:val="22"/>
        </w:rPr>
        <w:t>го</w:t>
      </w:r>
      <w:r w:rsidR="00AD7337">
        <w:rPr>
          <w:iCs/>
          <w:sz w:val="22"/>
          <w:szCs w:val="22"/>
        </w:rPr>
        <w:t xml:space="preserve"> </w:t>
      </w:r>
      <w:bookmarkStart w:id="2" w:name="_GoBack"/>
      <w:r w:rsidR="00BD7146" w:rsidRPr="00E6606E">
        <w:rPr>
          <w:iCs/>
          <w:sz w:val="22"/>
          <w:szCs w:val="22"/>
        </w:rPr>
        <w:t xml:space="preserve">робочого </w:t>
      </w:r>
      <w:proofErr w:type="spellStart"/>
      <w:r w:rsidR="00BD7146" w:rsidRPr="00E6606E">
        <w:rPr>
          <w:iCs/>
          <w:sz w:val="22"/>
          <w:szCs w:val="22"/>
        </w:rPr>
        <w:t>проєкту</w:t>
      </w:r>
      <w:proofErr w:type="spellEnd"/>
      <w:r w:rsidR="00BD7146" w:rsidRPr="00E6606E">
        <w:rPr>
          <w:iCs/>
          <w:sz w:val="22"/>
          <w:szCs w:val="22"/>
        </w:rPr>
        <w:t xml:space="preserve"> (</w:t>
      </w:r>
      <w:bookmarkEnd w:id="2"/>
      <w:r w:rsidR="00BD7146">
        <w:rPr>
          <w:iCs/>
          <w:sz w:val="22"/>
          <w:szCs w:val="22"/>
        </w:rPr>
        <w:t>Кошторисна документація)</w:t>
      </w:r>
      <w:r w:rsidR="00876776">
        <w:rPr>
          <w:iCs/>
          <w:sz w:val="22"/>
          <w:szCs w:val="22"/>
        </w:rPr>
        <w:t xml:space="preserve"> </w:t>
      </w:r>
      <w:r w:rsidR="00BD7146">
        <w:rPr>
          <w:iCs/>
          <w:sz w:val="22"/>
          <w:szCs w:val="22"/>
        </w:rPr>
        <w:t>«</w:t>
      </w:r>
      <w:r w:rsidR="00DF1AE7" w:rsidRPr="00DF1AE7">
        <w:rPr>
          <w:iCs/>
          <w:sz w:val="22"/>
          <w:szCs w:val="22"/>
        </w:rPr>
        <w:t xml:space="preserve">«Капітальний ремонт приміщень в будівлі лабораторії радіохімії та </w:t>
      </w:r>
      <w:proofErr w:type="spellStart"/>
      <w:r w:rsidR="00DF1AE7" w:rsidRPr="00DF1AE7">
        <w:rPr>
          <w:iCs/>
          <w:sz w:val="22"/>
          <w:szCs w:val="22"/>
        </w:rPr>
        <w:t>пробопідготовки</w:t>
      </w:r>
      <w:proofErr w:type="spellEnd"/>
      <w:r w:rsidR="00DF1AE7" w:rsidRPr="00DF1AE7">
        <w:rPr>
          <w:iCs/>
          <w:sz w:val="22"/>
          <w:szCs w:val="22"/>
        </w:rPr>
        <w:t xml:space="preserve"> за </w:t>
      </w:r>
      <w:proofErr w:type="spellStart"/>
      <w:r w:rsidR="00DF1AE7" w:rsidRPr="00DF1AE7">
        <w:rPr>
          <w:iCs/>
          <w:sz w:val="22"/>
          <w:szCs w:val="22"/>
        </w:rPr>
        <w:t>адресою</w:t>
      </w:r>
      <w:proofErr w:type="spellEnd"/>
      <w:r w:rsidR="00DF1AE7" w:rsidRPr="00DF1AE7">
        <w:rPr>
          <w:iCs/>
          <w:sz w:val="22"/>
          <w:szCs w:val="22"/>
        </w:rPr>
        <w:t>: проспект Науки, 37 м. Київ»</w:t>
      </w:r>
      <w:r w:rsidR="00BD7146" w:rsidRPr="00DF1AE7">
        <w:rPr>
          <w:iCs/>
          <w:sz w:val="22"/>
          <w:szCs w:val="22"/>
        </w:rPr>
        <w:t>»</w:t>
      </w:r>
      <w:r w:rsidR="00876776">
        <w:rPr>
          <w:iCs/>
          <w:sz w:val="22"/>
          <w:szCs w:val="22"/>
        </w:rPr>
        <w:t>.</w:t>
      </w:r>
      <w:r w:rsidR="00ED4F20">
        <w:rPr>
          <w:iCs/>
          <w:sz w:val="22"/>
          <w:szCs w:val="22"/>
        </w:rPr>
        <w:t xml:space="preserve"> </w:t>
      </w:r>
    </w:p>
    <w:p w14:paraId="7DB573FE" w14:textId="2F75AB50" w:rsidR="001121E3" w:rsidRPr="001121E3" w:rsidRDefault="001121E3" w:rsidP="001121E3">
      <w:pPr>
        <w:ind w:firstLine="284"/>
        <w:jc w:val="both"/>
        <w:rPr>
          <w:iCs/>
          <w:sz w:val="22"/>
          <w:szCs w:val="22"/>
        </w:rPr>
      </w:pPr>
      <w:r w:rsidRPr="001121E3">
        <w:rPr>
          <w:iCs/>
          <w:sz w:val="22"/>
          <w:szCs w:val="22"/>
        </w:rPr>
        <w:t>До очікуваної вартості предмета закупівлі (робіт з будівництва) або його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частини (лоту) не включається вартість витрат, які передбачені ЗКР на оплату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виконання робіт іншими суб’єктами господарювання, ніж переможцем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процедури закупівлі, та витрати, що відповідно до характеристик предмета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закупівлі (робіт з будівництва) або його частини (лоту) не належать до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розрахункової вартості ціни тендерної пропозиції учасника процедури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закупівлі.</w:t>
      </w:r>
    </w:p>
    <w:p w14:paraId="35DCBDD1" w14:textId="709B7FBF" w:rsidR="001121E3" w:rsidRPr="001121E3" w:rsidRDefault="001121E3" w:rsidP="001121E3">
      <w:pPr>
        <w:ind w:firstLine="284"/>
        <w:jc w:val="both"/>
        <w:rPr>
          <w:iCs/>
          <w:sz w:val="22"/>
          <w:szCs w:val="22"/>
        </w:rPr>
      </w:pPr>
      <w:r w:rsidRPr="001121E3">
        <w:rPr>
          <w:iCs/>
          <w:sz w:val="22"/>
          <w:szCs w:val="22"/>
        </w:rPr>
        <w:t>Замовник</w:t>
      </w:r>
      <w:r>
        <w:rPr>
          <w:iCs/>
          <w:sz w:val="22"/>
          <w:szCs w:val="22"/>
        </w:rPr>
        <w:t>ом</w:t>
      </w:r>
      <w:r w:rsidRPr="001121E3">
        <w:rPr>
          <w:iCs/>
          <w:sz w:val="22"/>
          <w:szCs w:val="22"/>
        </w:rPr>
        <w:t xml:space="preserve"> проаналіз</w:t>
      </w:r>
      <w:r>
        <w:rPr>
          <w:iCs/>
          <w:sz w:val="22"/>
          <w:szCs w:val="22"/>
        </w:rPr>
        <w:t>овано</w:t>
      </w:r>
      <w:r w:rsidRPr="001121E3">
        <w:rPr>
          <w:iCs/>
          <w:sz w:val="22"/>
          <w:szCs w:val="22"/>
        </w:rPr>
        <w:t>, які витрати відповідно до ЗКР є такими,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що не підлягають включенню до очікуваної вартості предмета закупівлі (робіт з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будівництва).</w:t>
      </w:r>
      <w:r>
        <w:rPr>
          <w:iCs/>
          <w:sz w:val="22"/>
          <w:szCs w:val="22"/>
        </w:rPr>
        <w:t>, а саме:</w:t>
      </w:r>
    </w:p>
    <w:p w14:paraId="03CEBC65" w14:textId="7554C89C" w:rsidR="001121E3" w:rsidRPr="002173E1" w:rsidRDefault="002173E1" w:rsidP="00440FB3">
      <w:pPr>
        <w:ind w:firstLine="284"/>
        <w:jc w:val="both"/>
        <w:rPr>
          <w:iCs/>
          <w:sz w:val="22"/>
          <w:szCs w:val="22"/>
        </w:rPr>
      </w:pPr>
      <w:r w:rsidRPr="002173E1">
        <w:rPr>
          <w:iCs/>
          <w:sz w:val="22"/>
          <w:szCs w:val="22"/>
        </w:rPr>
        <w:t>1</w:t>
      </w:r>
      <w:r w:rsidR="001121E3" w:rsidRPr="002173E1">
        <w:rPr>
          <w:iCs/>
          <w:sz w:val="22"/>
          <w:szCs w:val="22"/>
        </w:rPr>
        <w:t xml:space="preserve">) відповідно до глави 10 ЗКР </w:t>
      </w:r>
      <w:r w:rsidR="00440FB3" w:rsidRPr="002173E1">
        <w:rPr>
          <w:iCs/>
          <w:sz w:val="22"/>
          <w:szCs w:val="22"/>
        </w:rPr>
        <w:t>- кошти</w:t>
      </w:r>
      <w:r w:rsidR="001121E3" w:rsidRPr="002173E1">
        <w:rPr>
          <w:iCs/>
          <w:sz w:val="22"/>
          <w:szCs w:val="22"/>
        </w:rPr>
        <w:t xml:space="preserve"> здійснення технічного нагляду; </w:t>
      </w:r>
    </w:p>
    <w:p w14:paraId="3D1806F7" w14:textId="1F1AD5B2" w:rsidR="00440FB3" w:rsidRPr="002173E1" w:rsidRDefault="002173E1" w:rsidP="00440FB3">
      <w:pPr>
        <w:ind w:firstLine="284"/>
        <w:jc w:val="both"/>
        <w:rPr>
          <w:iCs/>
          <w:sz w:val="22"/>
          <w:szCs w:val="22"/>
        </w:rPr>
      </w:pPr>
      <w:r w:rsidRPr="002173E1">
        <w:rPr>
          <w:iCs/>
          <w:sz w:val="22"/>
          <w:szCs w:val="22"/>
        </w:rPr>
        <w:t>2</w:t>
      </w:r>
      <w:r w:rsidR="00440FB3" w:rsidRPr="002173E1">
        <w:rPr>
          <w:iCs/>
          <w:sz w:val="22"/>
          <w:szCs w:val="22"/>
        </w:rPr>
        <w:t xml:space="preserve">) відповідно до глави 12 ЗКР -вартість </w:t>
      </w:r>
      <w:proofErr w:type="spellStart"/>
      <w:r w:rsidR="00440FB3" w:rsidRPr="002173E1">
        <w:rPr>
          <w:iCs/>
          <w:sz w:val="22"/>
          <w:szCs w:val="22"/>
        </w:rPr>
        <w:t>проєктних</w:t>
      </w:r>
      <w:proofErr w:type="spellEnd"/>
      <w:r w:rsidR="00440FB3" w:rsidRPr="002173E1">
        <w:rPr>
          <w:iCs/>
          <w:sz w:val="22"/>
          <w:szCs w:val="22"/>
        </w:rPr>
        <w:t xml:space="preserve"> робіт, вартість експертизи </w:t>
      </w:r>
      <w:proofErr w:type="spellStart"/>
      <w:r w:rsidR="00440FB3" w:rsidRPr="002173E1">
        <w:rPr>
          <w:iCs/>
          <w:sz w:val="22"/>
          <w:szCs w:val="22"/>
        </w:rPr>
        <w:t>проєктної</w:t>
      </w:r>
      <w:proofErr w:type="spellEnd"/>
      <w:r w:rsidR="00440FB3" w:rsidRPr="002173E1">
        <w:rPr>
          <w:iCs/>
          <w:sz w:val="22"/>
          <w:szCs w:val="22"/>
        </w:rPr>
        <w:t xml:space="preserve"> документації, кошти на здійснення авторського нагляду; </w:t>
      </w:r>
    </w:p>
    <w:p w14:paraId="22ECAE81" w14:textId="23F08B23" w:rsidR="00440FB3" w:rsidRPr="002173E1" w:rsidRDefault="002173E1" w:rsidP="002173E1">
      <w:pPr>
        <w:jc w:val="both"/>
        <w:rPr>
          <w:iCs/>
          <w:sz w:val="22"/>
          <w:szCs w:val="22"/>
        </w:rPr>
      </w:pPr>
      <w:r>
        <w:rPr>
          <w:iCs/>
          <w:color w:val="FF0000"/>
          <w:sz w:val="22"/>
          <w:szCs w:val="22"/>
        </w:rPr>
        <w:t xml:space="preserve">     </w:t>
      </w:r>
      <w:r w:rsidRPr="002173E1">
        <w:rPr>
          <w:iCs/>
          <w:sz w:val="22"/>
          <w:szCs w:val="22"/>
        </w:rPr>
        <w:t>Кошти на покриття ризику всіх учасників будівництва визначені у сумі 31 254,00 грн.</w:t>
      </w:r>
    </w:p>
    <w:p w14:paraId="5A4DBC3D" w14:textId="31B43555" w:rsidR="00AD7337" w:rsidRDefault="00876776" w:rsidP="00ED4F20">
      <w:pPr>
        <w:ind w:firstLine="284"/>
        <w:jc w:val="both"/>
        <w:rPr>
          <w:iCs/>
          <w:sz w:val="22"/>
          <w:szCs w:val="22"/>
        </w:rPr>
      </w:pPr>
      <w:r w:rsidRPr="00876776">
        <w:rPr>
          <w:sz w:val="22"/>
          <w:szCs w:val="22"/>
        </w:rPr>
        <w:t>Кошторисна документація склада</w:t>
      </w:r>
      <w:r w:rsidR="00BD7146">
        <w:rPr>
          <w:sz w:val="22"/>
          <w:szCs w:val="22"/>
        </w:rPr>
        <w:t>лася</w:t>
      </w:r>
      <w:r w:rsidRPr="00876776">
        <w:rPr>
          <w:sz w:val="22"/>
          <w:szCs w:val="22"/>
        </w:rPr>
        <w:t xml:space="preserve"> </w:t>
      </w:r>
      <w:r w:rsidR="00BD7146">
        <w:rPr>
          <w:sz w:val="22"/>
          <w:szCs w:val="22"/>
        </w:rPr>
        <w:t xml:space="preserve">відповідно до </w:t>
      </w:r>
      <w:r w:rsidRPr="00876776">
        <w:rPr>
          <w:sz w:val="22"/>
          <w:szCs w:val="22"/>
        </w:rPr>
        <w:t>наказ</w:t>
      </w:r>
      <w:r w:rsidR="00BD7146">
        <w:rPr>
          <w:sz w:val="22"/>
          <w:szCs w:val="22"/>
        </w:rPr>
        <w:t>у</w:t>
      </w:r>
      <w:r w:rsidRPr="00876776">
        <w:rPr>
          <w:sz w:val="22"/>
          <w:szCs w:val="22"/>
        </w:rPr>
        <w:t xml:space="preserve"> </w:t>
      </w:r>
      <w:proofErr w:type="spellStart"/>
      <w:r w:rsidRPr="00876776">
        <w:rPr>
          <w:sz w:val="22"/>
          <w:szCs w:val="22"/>
        </w:rPr>
        <w:t>Мінрегіону</w:t>
      </w:r>
      <w:proofErr w:type="spellEnd"/>
      <w:r w:rsidRPr="00876776">
        <w:rPr>
          <w:sz w:val="22"/>
          <w:szCs w:val="22"/>
        </w:rPr>
        <w:t xml:space="preserve"> від 25.06.2021 № 162 «Деякі питання ціноутворення у будівництві», зареєстрованого в Міністерстві юстиції України 17.09.2021за № 1225/36847 та Кошторисних норм України «Настанова з визначення вартості будівництва», затверджених наказом Міністерства регіонального розвитку України від 01.11.2021 № 281.</w:t>
      </w:r>
      <w:r w:rsidR="00ED4F20" w:rsidRPr="00ED4F20">
        <w:rPr>
          <w:iCs/>
          <w:sz w:val="22"/>
          <w:szCs w:val="22"/>
        </w:rPr>
        <w:t xml:space="preserve"> </w:t>
      </w:r>
    </w:p>
    <w:p w14:paraId="439CDAD5" w14:textId="77777777" w:rsidR="00AC0A84" w:rsidRDefault="00AC0A84" w:rsidP="00ED4F20">
      <w:pPr>
        <w:ind w:firstLine="284"/>
        <w:jc w:val="both"/>
        <w:rPr>
          <w:iCs/>
          <w:sz w:val="22"/>
          <w:szCs w:val="22"/>
        </w:rPr>
      </w:pPr>
    </w:p>
    <w:p w14:paraId="2990BA8E" w14:textId="657F9B7F" w:rsidR="00AC0A84" w:rsidRDefault="00AC0A84" w:rsidP="00AC0A84">
      <w:pPr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3E2B68B7" w14:textId="77777777" w:rsidR="00AC0A84" w:rsidRDefault="00AC0A84" w:rsidP="00AC0A84">
      <w:pPr>
        <w:tabs>
          <w:tab w:val="left" w:pos="3388"/>
        </w:tabs>
        <w:rPr>
          <w:iCs/>
          <w:sz w:val="22"/>
          <w:szCs w:val="22"/>
        </w:rPr>
        <w:sectPr w:rsidR="00AC0A84" w:rsidSect="0065018F">
          <w:pgSz w:w="11906" w:h="16838"/>
          <w:pgMar w:top="850" w:right="850" w:bottom="850" w:left="1418" w:header="708" w:footer="708" w:gutter="0"/>
          <w:pgNumType w:start="1"/>
          <w:cols w:space="720"/>
        </w:sectPr>
      </w:pPr>
    </w:p>
    <w:p w14:paraId="5E078A8C" w14:textId="6B7D3A1D" w:rsidR="00AC0A84" w:rsidRDefault="00AC0A84" w:rsidP="00AC0A84">
      <w:pPr>
        <w:tabs>
          <w:tab w:val="left" w:pos="3388"/>
        </w:tabs>
        <w:rPr>
          <w:iCs/>
          <w:sz w:val="22"/>
          <w:szCs w:val="22"/>
        </w:rPr>
      </w:pPr>
    </w:p>
    <w:p w14:paraId="6E974D44" w14:textId="77777777" w:rsidR="00AC0A84" w:rsidRDefault="00AC0A84" w:rsidP="00ED4F20">
      <w:pPr>
        <w:ind w:firstLine="284"/>
        <w:jc w:val="both"/>
        <w:rPr>
          <w:i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1418"/>
      </w:tblGrid>
      <w:tr w:rsidR="00434B1B" w14:paraId="101C8B3E" w14:textId="77777777" w:rsidTr="00434B1B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83107F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ЗВЕДЕНИЙ КОШТОРИСНИЙ РОЗРАХУНОК ВАРТОСТІ ОБ`ЄКТА БУДІВНИЦТВА  №  </w:t>
            </w:r>
          </w:p>
        </w:tc>
      </w:tr>
      <w:tr w:rsidR="00434B1B" w14:paraId="51B80CA7" w14:textId="77777777" w:rsidTr="00434B1B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6785B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1402B1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34B1B" w14:paraId="160732D3" w14:textId="77777777" w:rsidTr="00434B1B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CA4008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"Капітальний ремонт приміщень в будівлі лабораторії радіохімії та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пробопідготовки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адресою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: проспект Науки, 37 м. Київ" </w:t>
            </w:r>
          </w:p>
        </w:tc>
      </w:tr>
      <w:tr w:rsidR="00434B1B" w14:paraId="388F8D2D" w14:textId="77777777" w:rsidTr="00434B1B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579CF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8EB3AB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34B1B" w14:paraId="6D1B97F0" w14:textId="77777777" w:rsidTr="00434B1B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27BA1B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Складений за поточними цінами станом на 11 серпня 2025 р.  </w:t>
            </w:r>
          </w:p>
        </w:tc>
      </w:tr>
      <w:tr w:rsidR="00434B1B" w14:paraId="3D0718D5" w14:textId="77777777" w:rsidTr="00C046C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0D563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732712E6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CFCE3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Номери</w:t>
            </w:r>
          </w:p>
          <w:p w14:paraId="364E69B5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кошторисів і</w:t>
            </w:r>
          </w:p>
          <w:p w14:paraId="793A050A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кошторисних</w:t>
            </w:r>
          </w:p>
          <w:p w14:paraId="41E04AFE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розрахунків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9BD93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глав, будівель, споруд, лінійних об'єктів інженерно-</w:t>
            </w:r>
          </w:p>
          <w:p w14:paraId="0EDA9F4D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транспортної інфраструктури, робіт і витрат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9DA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Кошторисна вартість,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тис.грн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</w:tr>
      <w:tr w:rsidR="00434B1B" w14:paraId="314C96DE" w14:textId="77777777" w:rsidTr="00C046CC"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67F0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3BF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CE5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41D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</w:t>
            </w:r>
          </w:p>
          <w:p w14:paraId="00FD24A0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86C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устаткування,</w:t>
            </w:r>
          </w:p>
          <w:p w14:paraId="707F96D9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меблів та</w:t>
            </w:r>
          </w:p>
          <w:p w14:paraId="69CAF056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інвентарю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123F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інших</w:t>
            </w:r>
          </w:p>
          <w:p w14:paraId="3E8FD028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5D22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загальна</w:t>
            </w:r>
          </w:p>
          <w:p w14:paraId="36CEA995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вартість</w:t>
            </w:r>
          </w:p>
        </w:tc>
      </w:tr>
      <w:tr w:rsidR="00434B1B" w14:paraId="1E4B1FE2" w14:textId="77777777" w:rsidTr="00C046C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F0A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BE7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4FE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25B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BBC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A7F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3BF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</w:tr>
      <w:tr w:rsidR="00434B1B" w14:paraId="0B43CD03" w14:textId="77777777" w:rsidTr="00C046CC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12E091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3DEEBF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0FCE795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  <w:p w14:paraId="114D22F0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Глава 2. Об'єкти основного призначення</w:t>
            </w:r>
          </w:p>
          <w:p w14:paraId="57420290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69430E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33E2369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1E15D3F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DC2F529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34B1B" w14:paraId="5FFA159E" w14:textId="77777777" w:rsidTr="00C046CC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1C9886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141B81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02-01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700101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"Капітальний ремонт приміщень в будівлі лабораторії радіохімії та</w:t>
            </w:r>
          </w:p>
          <w:p w14:paraId="1CE32E60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пробопідготовки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адресою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: проспект Науки, 37 м. Київ"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76D664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0B990A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FADEE3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458488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</w:tr>
      <w:tr w:rsidR="00434B1B" w14:paraId="640BA430" w14:textId="77777777" w:rsidTr="00C046CC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1C41CA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14B1BC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F33A7C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1781F0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E09453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3A72093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997ADF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</w:tr>
      <w:tr w:rsidR="00434B1B" w14:paraId="76400A46" w14:textId="77777777" w:rsidTr="00C046CC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A6A3D9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E89093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FF41F4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Разом по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главi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91EC81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AF9EA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C252CF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EFB002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</w:tr>
      <w:tr w:rsidR="00434B1B" w14:paraId="24BEE749" w14:textId="77777777" w:rsidTr="00C046CC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D71F8F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E27BCE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B452EB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DDED58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E71911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B981AF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B0EE9E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</w:tr>
      <w:tr w:rsidR="00434B1B" w14:paraId="3AB57D06" w14:textId="77777777" w:rsidTr="00C046CC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BBA4B9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AB38CE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AF0A62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2E1962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909EE3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2C65F2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4FDBF1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</w:tr>
      <w:tr w:rsidR="00434B1B" w14:paraId="62F5E028" w14:textId="77777777" w:rsidTr="00C046CC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8A2C2A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CD310E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DFD236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  <w:p w14:paraId="39901937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Глава 9. Кошти на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іншi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роботи та витрати</w:t>
            </w:r>
          </w:p>
          <w:p w14:paraId="68242447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9094B4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EA5A039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3007495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3857C13" w14:textId="77777777" w:rsidR="00434B1B" w:rsidRDefault="00434B1B" w:rsidP="00C046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34B1B" w14:paraId="09526949" w14:textId="77777777" w:rsidTr="00C046CC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A55718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0AF12A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Настанова [4.28]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D289A4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Кошти на перевезення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працiвникiв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будiвельних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органiзацiй</w:t>
            </w:r>
            <w:proofErr w:type="spellEnd"/>
          </w:p>
          <w:p w14:paraId="60F70097" w14:textId="77777777" w:rsid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автомобiльним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транспортом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DE7A8B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101098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5978D9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7,718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7E10AD" w14:textId="77777777" w:rsid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7,718</w:t>
            </w:r>
          </w:p>
        </w:tc>
      </w:tr>
      <w:tr w:rsidR="00434B1B" w14:paraId="2ED00CF7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7C4439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52279B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C64A8A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72652D2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440F17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03C629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D606CE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</w:tr>
      <w:tr w:rsidR="00434B1B" w14:paraId="36EC6193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8E2A95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048194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EBD086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Разом по </w:t>
            </w:r>
            <w:proofErr w:type="spellStart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главi</w:t>
            </w:r>
            <w:proofErr w:type="spellEnd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3AB82A4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BF9EE1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33ED44A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7,718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62D75A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7,718</w:t>
            </w:r>
          </w:p>
        </w:tc>
      </w:tr>
      <w:tr w:rsidR="00434B1B" w14:paraId="42DF90A6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6821FD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ECBBBB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EAC016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D7ECF3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AA01C5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128DB9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7,718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D3E407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1302,246</w:t>
            </w:r>
          </w:p>
        </w:tc>
      </w:tr>
      <w:tr w:rsidR="00434B1B" w14:paraId="2D3677CB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BCFB50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01D8B9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E3EE92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   </w:t>
            </w:r>
          </w:p>
          <w:p w14:paraId="7E444E2C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Глава 10. Утримання служби замовника та </w:t>
            </w:r>
            <w:proofErr w:type="spellStart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інжинірінгові</w:t>
            </w:r>
            <w:proofErr w:type="spellEnd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послуги</w:t>
            </w:r>
          </w:p>
          <w:p w14:paraId="1D77E6FF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E5859A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432AED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D2B8F6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0EA0AA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  <w:tr w:rsidR="00434B1B" w14:paraId="4BEB6E4A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9E7F04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7B6EE1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Настанова [4.32]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5990F1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Кошти на здійснення технічного нагляду (1,5 %)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1A5A45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05F87B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1A8AC8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19,534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4AFD7E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19,534</w:t>
            </w:r>
          </w:p>
        </w:tc>
      </w:tr>
      <w:tr w:rsidR="00434B1B" w14:paraId="4540CF1B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F2EA78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19D269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A9F7AA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F8EEF6D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840B0D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A8E57E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78B83D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</w:tr>
      <w:tr w:rsidR="00434B1B" w14:paraId="54FEC506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561B91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6C84EF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3496F3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Разом по </w:t>
            </w:r>
            <w:proofErr w:type="spellStart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главi</w:t>
            </w:r>
            <w:proofErr w:type="spellEnd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10: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E8F9EC1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CA079E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92E00A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19,534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A9967C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19,534</w:t>
            </w:r>
          </w:p>
        </w:tc>
      </w:tr>
      <w:tr w:rsidR="00434B1B" w14:paraId="771E93BD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D956F0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E91445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BB882A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   </w:t>
            </w:r>
          </w:p>
          <w:p w14:paraId="256378B8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Глава 12. Проектні, вишукувальні роботи, експертиза та</w:t>
            </w:r>
          </w:p>
          <w:p w14:paraId="741AECED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авторський нагляд</w:t>
            </w:r>
          </w:p>
          <w:p w14:paraId="4800483E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E04E03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1D9A9D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7C1447D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6D45E1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  <w:tr w:rsidR="00434B1B" w14:paraId="1A150AD9" w14:textId="77777777" w:rsidTr="00434B1B">
        <w:tc>
          <w:tcPr>
            <w:tcW w:w="6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B16B30B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14:paraId="60DF90B9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Настанова [4.34]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7BC0006A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Вартiсть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проектних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робiт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14:paraId="0FDCE257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14:paraId="27E3D296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14:paraId="6A129A0F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50,894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14:paraId="66AD1BEC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50,894</w:t>
            </w:r>
          </w:p>
        </w:tc>
      </w:tr>
      <w:tr w:rsidR="00434B1B" w14:paraId="159A195A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DDFB4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BD110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Настанова [4.34]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01007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Вартiсть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експертизи проектної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документацiї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D3C5BE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5E4C3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5E568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E9516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5,874</w:t>
            </w:r>
          </w:p>
        </w:tc>
      </w:tr>
      <w:tr w:rsidR="00434B1B" w14:paraId="569D2919" w14:textId="77777777" w:rsidTr="00434B1B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CB598D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B37577B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Настанова [4.35]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523DAAE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Кошти на здійснення авторського нагляду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B892C9C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8814FFD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3E6654A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8,900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8C8B38E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8,900</w:t>
            </w:r>
          </w:p>
        </w:tc>
      </w:tr>
      <w:tr w:rsidR="00434B1B" w14:paraId="1D263D29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3E8E1B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DE7C7A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59FF8D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ADBD02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38C813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604C49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5B35A8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</w:t>
            </w:r>
          </w:p>
        </w:tc>
      </w:tr>
      <w:tr w:rsidR="00434B1B" w14:paraId="753401D7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05112E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70EFE5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B00A64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Разом по </w:t>
            </w:r>
            <w:proofErr w:type="spellStart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главi</w:t>
            </w:r>
            <w:proofErr w:type="spellEnd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8B953D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E9291D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DB2337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65,668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E2BB30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65,668</w:t>
            </w:r>
          </w:p>
        </w:tc>
      </w:tr>
      <w:tr w:rsidR="00434B1B" w14:paraId="32517CD0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379A67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2B40A7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5C1B57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9195D2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1294,528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2D827D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F3D027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92,920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851A5E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1387,448</w:t>
            </w:r>
          </w:p>
        </w:tc>
      </w:tr>
      <w:tr w:rsidR="00434B1B" w14:paraId="4C2B7B11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2E0A48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4D5A61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Настанова [4.38]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90F635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Кошторисний прибуток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422739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19,529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E772A0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253173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E6F401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19,529</w:t>
            </w:r>
          </w:p>
        </w:tc>
      </w:tr>
      <w:tr w:rsidR="00434B1B" w14:paraId="2BCAE111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1D1790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1DC7BA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Настанова [4.39]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84114D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Кошти на покриття адміністративних витрат будівельних</w:t>
            </w:r>
          </w:p>
          <w:p w14:paraId="28986B93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організацій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63AD82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043C86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92DAE4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9,931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E41A1E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9,931</w:t>
            </w:r>
          </w:p>
        </w:tc>
      </w:tr>
      <w:tr w:rsidR="00434B1B" w14:paraId="51C88D51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291FCC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B587B0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Настанова [4.40]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2335B7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Кошти на покриття ризику </w:t>
            </w:r>
            <w:proofErr w:type="spellStart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всiх</w:t>
            </w:r>
            <w:proofErr w:type="spellEnd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учасникiв</w:t>
            </w:r>
            <w:proofErr w:type="spellEnd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будiвництва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D091F6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25,891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7C542B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B5F299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28D6E2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27,749</w:t>
            </w:r>
          </w:p>
        </w:tc>
      </w:tr>
      <w:tr w:rsidR="00434B1B" w14:paraId="4FC6DBBC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E247F3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EF01DB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26FA77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635AC7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1339,948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89E834C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1FDE57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104,709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A18060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1444,657</w:t>
            </w:r>
          </w:p>
        </w:tc>
      </w:tr>
      <w:tr w:rsidR="00434B1B" w14:paraId="3F2C3FBE" w14:textId="77777777" w:rsidTr="00434B1B">
        <w:tc>
          <w:tcPr>
            <w:tcW w:w="6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AE894B0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14:paraId="679CF229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Настанова [4.43]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0B030104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Податок на додану вартість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14:paraId="0D4A9C12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14:paraId="02521910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14:paraId="229828F8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288,931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14:paraId="426887BD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288,931</w:t>
            </w:r>
          </w:p>
        </w:tc>
      </w:tr>
      <w:tr w:rsidR="00434B1B" w14:paraId="3B1869D6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962CF3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472058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B0C768" w14:textId="77777777" w:rsidR="00434B1B" w:rsidRPr="00434B1B" w:rsidRDefault="00434B1B" w:rsidP="00C046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>Всього по зведеному кошторисному розрахунку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DEA8CB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1339,948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FE1637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CA704BC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393,640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6D8873" w14:textId="77777777" w:rsidR="00434B1B" w:rsidRPr="00434B1B" w:rsidRDefault="00434B1B" w:rsidP="00C046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1733,588</w:t>
            </w:r>
          </w:p>
        </w:tc>
      </w:tr>
      <w:tr w:rsidR="00434B1B" w14:paraId="70901A29" w14:textId="77777777" w:rsidTr="00434B1B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10A37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1A0CB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526A28" w14:textId="77777777" w:rsidR="00434B1B" w:rsidRPr="00434B1B" w:rsidRDefault="00434B1B" w:rsidP="00434B1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F5547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748FA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F783E7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BE9AA" w14:textId="77777777" w:rsidR="00434B1B" w:rsidRPr="00434B1B" w:rsidRDefault="00434B1B" w:rsidP="00434B1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34B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</w:tbl>
    <w:p w14:paraId="289EC8CC" w14:textId="77777777" w:rsidR="00AC0A84" w:rsidRDefault="00AC0A84" w:rsidP="00ED4F20">
      <w:pPr>
        <w:ind w:firstLine="284"/>
        <w:jc w:val="both"/>
        <w:rPr>
          <w:iCs/>
          <w:sz w:val="22"/>
          <w:szCs w:val="22"/>
        </w:rPr>
      </w:pPr>
    </w:p>
    <w:sectPr w:rsidR="00AC0A84" w:rsidSect="00AC0A84">
      <w:pgSz w:w="16838" w:h="11906" w:orient="landscape"/>
      <w:pgMar w:top="851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5C"/>
    <w:rsid w:val="00022402"/>
    <w:rsid w:val="00024471"/>
    <w:rsid w:val="00082B9D"/>
    <w:rsid w:val="000A2AFE"/>
    <w:rsid w:val="000C04DA"/>
    <w:rsid w:val="0011118A"/>
    <w:rsid w:val="001121E3"/>
    <w:rsid w:val="002173E1"/>
    <w:rsid w:val="002325C2"/>
    <w:rsid w:val="002425EA"/>
    <w:rsid w:val="00281578"/>
    <w:rsid w:val="00305463"/>
    <w:rsid w:val="00397B9B"/>
    <w:rsid w:val="003D2C96"/>
    <w:rsid w:val="00434B1B"/>
    <w:rsid w:val="00440FB3"/>
    <w:rsid w:val="004B0322"/>
    <w:rsid w:val="004F3C2B"/>
    <w:rsid w:val="00500F3C"/>
    <w:rsid w:val="00531CF8"/>
    <w:rsid w:val="005623CD"/>
    <w:rsid w:val="005D2B99"/>
    <w:rsid w:val="0065018F"/>
    <w:rsid w:val="00653F31"/>
    <w:rsid w:val="006D76CE"/>
    <w:rsid w:val="00732518"/>
    <w:rsid w:val="007C6AF7"/>
    <w:rsid w:val="00860481"/>
    <w:rsid w:val="00876776"/>
    <w:rsid w:val="008B4F5C"/>
    <w:rsid w:val="008C7D2E"/>
    <w:rsid w:val="00900890"/>
    <w:rsid w:val="00913713"/>
    <w:rsid w:val="00914FBF"/>
    <w:rsid w:val="009F1BDF"/>
    <w:rsid w:val="00A075BC"/>
    <w:rsid w:val="00A16325"/>
    <w:rsid w:val="00A93F15"/>
    <w:rsid w:val="00A97C19"/>
    <w:rsid w:val="00AC0A84"/>
    <w:rsid w:val="00AD7337"/>
    <w:rsid w:val="00B33FC8"/>
    <w:rsid w:val="00B56A82"/>
    <w:rsid w:val="00BD4EED"/>
    <w:rsid w:val="00BD7146"/>
    <w:rsid w:val="00C55D38"/>
    <w:rsid w:val="00C9174D"/>
    <w:rsid w:val="00CD58FC"/>
    <w:rsid w:val="00DF1AE7"/>
    <w:rsid w:val="00E06637"/>
    <w:rsid w:val="00E578F8"/>
    <w:rsid w:val="00E65697"/>
    <w:rsid w:val="00E6606E"/>
    <w:rsid w:val="00ED4F20"/>
    <w:rsid w:val="00F75E99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A97C19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A97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OPV-3</cp:lastModifiedBy>
  <cp:revision>13</cp:revision>
  <dcterms:created xsi:type="dcterms:W3CDTF">2024-09-09T08:42:00Z</dcterms:created>
  <dcterms:modified xsi:type="dcterms:W3CDTF">2025-08-13T07:34:00Z</dcterms:modified>
</cp:coreProperties>
</file>